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line="420" w:lineRule="atLeast"/>
        <w:ind w:left="0" w:right="0" w:firstLine="0"/>
        <w:jc w:val="center"/>
        <w:rPr>
          <w:rFonts w:hint="eastAsia"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shd w:val="clear" w:color="auto" w:fill="FFFFFF"/>
        </w:rPr>
        <w:t>阳江市建筑业企业信用评价办法</w:t>
      </w:r>
    </w:p>
    <w:p>
      <w:pPr>
        <w:spacing w:line="520" w:lineRule="exact"/>
        <w:ind w:firstLine="0" w:firstLineChars="0"/>
        <w:rPr>
          <w:rFonts w:hint="eastAsia" w:ascii="黑体" w:hAnsi="黑体" w:eastAsia="黑体"/>
          <w:sz w:val="30"/>
          <w:szCs w:val="30"/>
        </w:rPr>
      </w:pPr>
      <w:r>
        <w:rPr>
          <w:rFonts w:hint="eastAsia" w:ascii="黑体" w:hAnsi="黑体" w:eastAsia="黑体"/>
          <w:sz w:val="30"/>
          <w:szCs w:val="30"/>
        </w:rPr>
        <w:t>附件1</w:t>
      </w:r>
    </w:p>
    <w:p>
      <w:pPr>
        <w:spacing w:line="520" w:lineRule="exact"/>
        <w:ind w:firstLine="0" w:firstLineChars="0"/>
        <w:rPr>
          <w:rFonts w:hint="eastAsia" w:ascii="黑体" w:hAnsi="黑体" w:eastAsia="黑体"/>
          <w:sz w:val="30"/>
          <w:szCs w:val="30"/>
        </w:rPr>
      </w:pPr>
      <w:bookmarkStart w:id="0" w:name="_GoBack"/>
      <w:bookmarkEnd w:id="0"/>
    </w:p>
    <w:p>
      <w:pPr>
        <w:spacing w:line="360" w:lineRule="auto"/>
        <w:ind w:firstLine="720"/>
        <w:jc w:val="center"/>
        <w:rPr>
          <w:rFonts w:hint="eastAsia" w:ascii="方正大标宋_GBK" w:hAnsi="宋体" w:eastAsia="方正大标宋_GBK"/>
          <w:color w:val="auto"/>
          <w:sz w:val="28"/>
          <w:szCs w:val="28"/>
          <w:lang w:eastAsia="zh-CN"/>
        </w:rPr>
      </w:pPr>
      <w:r>
        <w:rPr>
          <w:rFonts w:hint="eastAsia" w:ascii="方正大标宋_GBK" w:hAnsi="宋体" w:eastAsia="方正大标宋_GBK"/>
          <w:color w:val="auto"/>
          <w:sz w:val="28"/>
          <w:szCs w:val="28"/>
          <w:lang w:eastAsia="zh-CN"/>
        </w:rPr>
        <w:t>阳江市</w:t>
      </w:r>
      <w:r>
        <w:rPr>
          <w:rFonts w:hint="eastAsia" w:ascii="方正大标宋_GBK" w:hAnsi="宋体" w:eastAsia="方正大标宋_GBK"/>
          <w:color w:val="auto"/>
          <w:sz w:val="28"/>
          <w:szCs w:val="28"/>
        </w:rPr>
        <w:t>建筑业企业信用评价指标</w:t>
      </w:r>
      <w:r>
        <w:rPr>
          <w:rFonts w:hint="eastAsia" w:ascii="方正大标宋_GBK" w:hAnsi="宋体" w:eastAsia="方正大标宋_GBK"/>
          <w:color w:val="auto"/>
          <w:sz w:val="28"/>
          <w:szCs w:val="28"/>
          <w:lang w:eastAsia="zh-CN"/>
        </w:rPr>
        <w:t>（</w:t>
      </w:r>
      <w:r>
        <w:rPr>
          <w:rFonts w:hint="eastAsia" w:ascii="方正大标宋_GBK" w:hAnsi="宋体" w:eastAsia="方正大标宋_GBK"/>
          <w:color w:val="auto"/>
          <w:sz w:val="28"/>
          <w:szCs w:val="28"/>
          <w:lang w:val="en-US" w:eastAsia="zh-CN"/>
        </w:rPr>
        <w:t>2023年修订</w:t>
      </w:r>
      <w:r>
        <w:rPr>
          <w:rFonts w:hint="eastAsia" w:ascii="方正大标宋_GBK" w:hAnsi="宋体" w:eastAsia="方正大标宋_GBK"/>
          <w:color w:val="auto"/>
          <w:sz w:val="28"/>
          <w:szCs w:val="28"/>
          <w:lang w:eastAsia="zh-CN"/>
        </w:rPr>
        <w:t>）</w:t>
      </w:r>
    </w:p>
    <w:tbl>
      <w:tblPr>
        <w:tblStyle w:val="5"/>
        <w:tblW w:w="137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2467"/>
        <w:gridCol w:w="3438"/>
        <w:gridCol w:w="855"/>
        <w:gridCol w:w="52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96"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评价内容</w:t>
            </w:r>
          </w:p>
        </w:tc>
        <w:tc>
          <w:tcPr>
            <w:tcW w:w="2467"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主要评价指标</w:t>
            </w:r>
          </w:p>
        </w:tc>
        <w:tc>
          <w:tcPr>
            <w:tcW w:w="3438" w:type="dxa"/>
            <w:noWrap w:val="0"/>
            <w:vAlign w:val="center"/>
          </w:tcPr>
          <w:p>
            <w:pPr>
              <w:tabs>
                <w:tab w:val="left" w:pos="1602"/>
              </w:tabs>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标准内容</w:t>
            </w:r>
          </w:p>
        </w:tc>
        <w:tc>
          <w:tcPr>
            <w:tcW w:w="855"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标准</w:t>
            </w:r>
          </w:p>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分数</w:t>
            </w:r>
          </w:p>
        </w:tc>
        <w:tc>
          <w:tcPr>
            <w:tcW w:w="5204" w:type="dxa"/>
            <w:noWrap w:val="0"/>
            <w:vAlign w:val="center"/>
          </w:tcPr>
          <w:p>
            <w:pPr>
              <w:spacing w:line="400" w:lineRule="exact"/>
              <w:ind w:firstLine="482"/>
              <w:jc w:val="center"/>
              <w:rPr>
                <w:rFonts w:hint="eastAsia" w:ascii="宋体" w:hAnsi="宋体" w:eastAsia="宋体"/>
                <w:b/>
                <w:color w:val="auto"/>
                <w:sz w:val="24"/>
              </w:rPr>
            </w:pPr>
            <w:r>
              <w:rPr>
                <w:rFonts w:hint="eastAsia" w:ascii="宋体" w:hAnsi="宋体" w:eastAsia="宋体"/>
                <w:b/>
                <w:color w:val="auto"/>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96" w:type="dxa"/>
            <w:vMerge w:val="restart"/>
            <w:noWrap w:val="0"/>
            <w:vAlign w:val="center"/>
          </w:tcPr>
          <w:p>
            <w:pPr>
              <w:spacing w:line="520" w:lineRule="exact"/>
              <w:ind w:left="354" w:right="-31" w:rightChars="-15" w:hanging="354" w:hangingChars="147"/>
              <w:rPr>
                <w:rFonts w:hint="eastAsia" w:ascii="宋体" w:hAnsi="宋体" w:eastAsia="宋体"/>
                <w:b/>
                <w:color w:val="auto"/>
                <w:sz w:val="24"/>
              </w:rPr>
            </w:pPr>
            <w:r>
              <w:rPr>
                <w:rFonts w:hint="eastAsia" w:ascii="宋体" w:hAnsi="宋体" w:eastAsia="宋体"/>
                <w:b/>
                <w:color w:val="auto"/>
                <w:sz w:val="24"/>
              </w:rPr>
              <w:t>一、基本素质1</w:t>
            </w:r>
            <w:r>
              <w:rPr>
                <w:rFonts w:hint="eastAsia" w:ascii="宋体" w:hAnsi="宋体" w:eastAsia="宋体"/>
                <w:b/>
                <w:color w:val="auto"/>
                <w:sz w:val="24"/>
                <w:lang w:val="en-US" w:eastAsia="zh-CN"/>
              </w:rPr>
              <w:t>5</w:t>
            </w:r>
            <w:r>
              <w:rPr>
                <w:rFonts w:hint="eastAsia" w:ascii="宋体" w:hAnsi="宋体" w:eastAsia="宋体"/>
                <w:b/>
                <w:color w:val="auto"/>
                <w:sz w:val="24"/>
              </w:rPr>
              <w:t>分</w:t>
            </w:r>
          </w:p>
        </w:tc>
        <w:tc>
          <w:tcPr>
            <w:tcW w:w="2467"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1、企业资质等</w:t>
            </w:r>
          </w:p>
        </w:tc>
        <w:tc>
          <w:tcPr>
            <w:tcW w:w="3438"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取得营业执照、资质证书、安全生产许可证等且在有效期内</w:t>
            </w:r>
          </w:p>
        </w:tc>
        <w:tc>
          <w:tcPr>
            <w:tcW w:w="855"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取得相应证书且在有效期内者得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96" w:type="dxa"/>
            <w:vMerge w:val="continue"/>
            <w:noWrap w:val="0"/>
            <w:vAlign w:val="center"/>
          </w:tcPr>
          <w:p>
            <w:pPr>
              <w:spacing w:line="520" w:lineRule="exact"/>
              <w:ind w:left="354" w:right="-31" w:rightChars="-15" w:hanging="354" w:hangingChars="147"/>
              <w:rPr>
                <w:rFonts w:hint="eastAsia" w:ascii="宋体" w:hAnsi="宋体" w:eastAsia="宋体"/>
                <w:b/>
                <w:color w:val="auto"/>
                <w:sz w:val="24"/>
              </w:rPr>
            </w:pPr>
          </w:p>
        </w:tc>
        <w:tc>
          <w:tcPr>
            <w:tcW w:w="2467"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2、公司组织机构及各项规章制度建设</w:t>
            </w:r>
          </w:p>
        </w:tc>
        <w:tc>
          <w:tcPr>
            <w:tcW w:w="3438"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组织机构健全、合理；</w:t>
            </w:r>
          </w:p>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规章制度完备，运行有效</w:t>
            </w:r>
          </w:p>
        </w:tc>
        <w:tc>
          <w:tcPr>
            <w:tcW w:w="855"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分</w:t>
            </w:r>
          </w:p>
        </w:tc>
        <w:tc>
          <w:tcPr>
            <w:tcW w:w="5204" w:type="dxa"/>
            <w:noWrap w:val="0"/>
            <w:tcMar>
              <w:top w:w="85" w:type="dxa"/>
              <w:bottom w:w="85" w:type="dxa"/>
            </w:tcMar>
            <w:vAlign w:val="center"/>
          </w:tcPr>
          <w:p>
            <w:pPr>
              <w:spacing w:line="34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组织机构健全、合理，职责明确；各项规章制度严谨、健全，并能持续改进者得</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分。质量、安全、合同、设备、材料采购、劳资等管理制度，每缺少一项减1分，减完为止。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6" w:type="dxa"/>
            <w:vMerge w:val="continue"/>
            <w:noWrap w:val="0"/>
            <w:vAlign w:val="center"/>
          </w:tcPr>
          <w:p>
            <w:pPr>
              <w:spacing w:line="520" w:lineRule="exact"/>
              <w:ind w:left="354" w:right="-31" w:rightChars="-15" w:hanging="354" w:hangingChars="147"/>
              <w:rPr>
                <w:rFonts w:hint="eastAsia" w:ascii="宋体" w:hAnsi="宋体" w:eastAsia="宋体"/>
                <w:b/>
                <w:color w:val="auto"/>
                <w:sz w:val="24"/>
              </w:rPr>
            </w:pPr>
          </w:p>
        </w:tc>
        <w:tc>
          <w:tcPr>
            <w:tcW w:w="2467"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3、管理体系建立</w:t>
            </w:r>
          </w:p>
        </w:tc>
        <w:tc>
          <w:tcPr>
            <w:tcW w:w="3438"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质量管理体系认证；</w:t>
            </w:r>
          </w:p>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环境管理体系认证；</w:t>
            </w:r>
          </w:p>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职业健康安全管理体系认证</w:t>
            </w:r>
          </w:p>
        </w:tc>
        <w:tc>
          <w:tcPr>
            <w:tcW w:w="855" w:type="dxa"/>
            <w:noWrap w:val="0"/>
            <w:vAlign w:val="center"/>
          </w:tcPr>
          <w:p>
            <w:pPr>
              <w:snapToGrid w:val="0"/>
              <w:spacing w:line="36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2分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获得国家认可的认证证书，实施效果良好，能持续改进者得2分。缺少一个管理体系认证减1分，减完为止。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6" w:type="dxa"/>
            <w:vMerge w:val="continue"/>
            <w:noWrap w:val="0"/>
            <w:vAlign w:val="center"/>
          </w:tcPr>
          <w:p>
            <w:pPr>
              <w:spacing w:line="520" w:lineRule="exact"/>
              <w:ind w:left="354" w:right="-31" w:rightChars="-15" w:hanging="354" w:hangingChars="147"/>
              <w:rPr>
                <w:rFonts w:hint="eastAsia" w:ascii="宋体" w:hAnsi="宋体" w:eastAsia="宋体"/>
                <w:b/>
                <w:color w:val="auto"/>
                <w:sz w:val="24"/>
              </w:rPr>
            </w:pPr>
          </w:p>
        </w:tc>
        <w:tc>
          <w:tcPr>
            <w:tcW w:w="2467"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4、信息化管理</w:t>
            </w:r>
          </w:p>
        </w:tc>
        <w:tc>
          <w:tcPr>
            <w:tcW w:w="3438"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建立办公自动化系统及单位网站</w:t>
            </w:r>
          </w:p>
        </w:tc>
        <w:tc>
          <w:tcPr>
            <w:tcW w:w="855" w:type="dxa"/>
            <w:noWrap w:val="0"/>
            <w:vAlign w:val="center"/>
          </w:tcPr>
          <w:p>
            <w:pPr>
              <w:snapToGrid w:val="0"/>
              <w:spacing w:line="36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2分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建立办公自动化系统及单位网站，信息沟通渠道顺畅者得2分。缺少一项减1分，减完为止。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96" w:type="dxa"/>
            <w:vMerge w:val="continue"/>
            <w:noWrap w:val="0"/>
            <w:vAlign w:val="center"/>
          </w:tcPr>
          <w:p>
            <w:pPr>
              <w:spacing w:line="520" w:lineRule="exact"/>
              <w:ind w:left="354" w:right="-31" w:rightChars="-15" w:hanging="354" w:hangingChars="147"/>
              <w:rPr>
                <w:rFonts w:hint="eastAsia" w:ascii="宋体" w:hAnsi="宋体" w:eastAsia="宋体"/>
                <w:b/>
                <w:color w:val="auto"/>
                <w:sz w:val="24"/>
              </w:rPr>
            </w:pPr>
          </w:p>
        </w:tc>
        <w:tc>
          <w:tcPr>
            <w:tcW w:w="2467" w:type="dxa"/>
            <w:noWrap w:val="0"/>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5、人力资源</w:t>
            </w:r>
          </w:p>
        </w:tc>
        <w:tc>
          <w:tcPr>
            <w:tcW w:w="3438" w:type="dxa"/>
            <w:noWrap w:val="0"/>
            <w:vAlign w:val="center"/>
          </w:tcPr>
          <w:p>
            <w:pPr>
              <w:snapToGrid w:val="0"/>
              <w:spacing w:line="360" w:lineRule="exact"/>
              <w:ind w:firstLine="0" w:firstLineChars="0"/>
              <w:rPr>
                <w:rFonts w:hint="eastAsia" w:ascii="宋体" w:hAnsi="宋体" w:eastAsia="宋体"/>
                <w:color w:val="auto"/>
                <w:sz w:val="24"/>
                <w:szCs w:val="24"/>
              </w:rPr>
            </w:pPr>
            <w:r>
              <w:rPr>
                <w:rFonts w:ascii="宋体" w:hAnsi="宋体" w:eastAsia="宋体"/>
                <w:color w:val="auto"/>
                <w:sz w:val="24"/>
                <w:szCs w:val="24"/>
              </w:rPr>
              <w:t>企业主要管理人员和专业技术人员</w:t>
            </w:r>
            <w:r>
              <w:rPr>
                <w:rFonts w:hint="eastAsia" w:ascii="宋体" w:hAnsi="宋体" w:eastAsia="宋体"/>
                <w:color w:val="auto"/>
                <w:sz w:val="24"/>
                <w:szCs w:val="24"/>
              </w:rPr>
              <w:t>配备满足资质等级要求</w:t>
            </w:r>
          </w:p>
        </w:tc>
        <w:tc>
          <w:tcPr>
            <w:tcW w:w="855" w:type="dxa"/>
            <w:noWrap w:val="0"/>
            <w:vAlign w:val="center"/>
          </w:tcPr>
          <w:p>
            <w:pPr>
              <w:snapToGrid w:val="0"/>
              <w:spacing w:line="36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3分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企业主要管理人员、专业技术人员、注册建造师等人员达到相应资质标准的得3分，不符合者每项减1分，减完为止。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96" w:type="dxa"/>
            <w:noWrap w:val="0"/>
            <w:vAlign w:val="center"/>
          </w:tcPr>
          <w:p>
            <w:pPr>
              <w:tabs>
                <w:tab w:val="left" w:pos="960"/>
              </w:tabs>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评价内容</w:t>
            </w:r>
          </w:p>
        </w:tc>
        <w:tc>
          <w:tcPr>
            <w:tcW w:w="2467"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主要评价指标</w:t>
            </w:r>
          </w:p>
        </w:tc>
        <w:tc>
          <w:tcPr>
            <w:tcW w:w="3438" w:type="dxa"/>
            <w:noWrap w:val="0"/>
            <w:vAlign w:val="center"/>
          </w:tcPr>
          <w:p>
            <w:pPr>
              <w:tabs>
                <w:tab w:val="left" w:pos="1602"/>
              </w:tabs>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标准内容</w:t>
            </w:r>
          </w:p>
        </w:tc>
        <w:tc>
          <w:tcPr>
            <w:tcW w:w="855"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标准</w:t>
            </w:r>
          </w:p>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分数</w:t>
            </w:r>
          </w:p>
        </w:tc>
        <w:tc>
          <w:tcPr>
            <w:tcW w:w="5204" w:type="dxa"/>
            <w:noWrap w:val="0"/>
            <w:tcMar>
              <w:top w:w="85" w:type="dxa"/>
              <w:bottom w:w="85" w:type="dxa"/>
            </w:tcMar>
            <w:vAlign w:val="center"/>
          </w:tcPr>
          <w:p>
            <w:pPr>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vMerge w:val="restart"/>
            <w:noWrap w:val="0"/>
            <w:vAlign w:val="center"/>
          </w:tcPr>
          <w:p>
            <w:pPr>
              <w:spacing w:line="520" w:lineRule="exact"/>
              <w:ind w:left="354" w:hanging="354" w:hangingChars="147"/>
              <w:rPr>
                <w:rFonts w:hint="eastAsia" w:ascii="宋体" w:hAnsi="宋体" w:eastAsia="宋体"/>
                <w:b/>
                <w:color w:val="auto"/>
                <w:sz w:val="21"/>
              </w:rPr>
            </w:pPr>
            <w:r>
              <w:rPr>
                <w:rFonts w:hint="eastAsia" w:ascii="宋体" w:hAnsi="宋体" w:eastAsia="宋体"/>
                <w:b/>
                <w:color w:val="auto"/>
                <w:sz w:val="24"/>
              </w:rPr>
              <w:t>二、经济财务指标1</w:t>
            </w:r>
            <w:r>
              <w:rPr>
                <w:rFonts w:hint="eastAsia" w:ascii="宋体" w:hAnsi="宋体" w:eastAsia="宋体"/>
                <w:b/>
                <w:color w:val="auto"/>
                <w:sz w:val="24"/>
                <w:lang w:val="en-US" w:eastAsia="zh-CN"/>
              </w:rPr>
              <w:t>5</w:t>
            </w:r>
            <w:r>
              <w:rPr>
                <w:rFonts w:hint="eastAsia" w:ascii="宋体" w:hAnsi="宋体" w:eastAsia="宋体"/>
                <w:b/>
                <w:color w:val="auto"/>
                <w:sz w:val="24"/>
              </w:rPr>
              <w:t>分</w:t>
            </w:r>
          </w:p>
        </w:tc>
        <w:tc>
          <w:tcPr>
            <w:tcW w:w="2467"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1、企业产值</w:t>
            </w:r>
          </w:p>
        </w:tc>
        <w:tc>
          <w:tcPr>
            <w:tcW w:w="3438"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符合相应的资质标准</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达到相应的资质标准得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分，未达到相应资质标准的每降低5%减0.5分，减完为止。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796" w:type="dxa"/>
            <w:vMerge w:val="continue"/>
            <w:noWrap w:val="0"/>
            <w:vAlign w:val="top"/>
          </w:tcPr>
          <w:p>
            <w:pPr>
              <w:spacing w:line="520" w:lineRule="exact"/>
              <w:ind w:firstLine="420"/>
              <w:rPr>
                <w:rFonts w:hint="eastAsia" w:ascii="宋体" w:hAnsi="宋体" w:eastAsia="宋体"/>
                <w:color w:val="auto"/>
                <w:sz w:val="21"/>
              </w:rPr>
            </w:pPr>
          </w:p>
        </w:tc>
        <w:tc>
          <w:tcPr>
            <w:tcW w:w="2467" w:type="dxa"/>
            <w:noWrap w:val="0"/>
            <w:vAlign w:val="center"/>
          </w:tcPr>
          <w:p>
            <w:pPr>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2、纳税情况</w:t>
            </w:r>
          </w:p>
        </w:tc>
        <w:tc>
          <w:tcPr>
            <w:tcW w:w="3438"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无违规行为并符合相应的资质标准</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企业依法按时、足额纳税的得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分，出现欠税、漏税行为及未达到相应资质标准的，每降低5%减0.5分，减完为止。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96" w:type="dxa"/>
            <w:vMerge w:val="continue"/>
            <w:noWrap w:val="0"/>
            <w:vAlign w:val="top"/>
          </w:tcPr>
          <w:p>
            <w:pPr>
              <w:spacing w:line="520" w:lineRule="exact"/>
              <w:ind w:firstLine="420"/>
              <w:rPr>
                <w:rFonts w:hint="eastAsia" w:ascii="宋体" w:hAnsi="宋体" w:eastAsia="宋体"/>
                <w:color w:val="auto"/>
                <w:sz w:val="21"/>
              </w:rPr>
            </w:pPr>
          </w:p>
        </w:tc>
        <w:tc>
          <w:tcPr>
            <w:tcW w:w="2467"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3、劳动生产率</w:t>
            </w:r>
          </w:p>
        </w:tc>
        <w:tc>
          <w:tcPr>
            <w:tcW w:w="3438"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lang w:val="en-US" w:eastAsia="zh-CN"/>
              </w:rPr>
              <w:t>25</w:t>
            </w:r>
            <w:r>
              <w:rPr>
                <w:rFonts w:hint="eastAsia" w:ascii="宋体" w:hAnsi="宋体" w:eastAsia="宋体"/>
                <w:color w:val="auto"/>
                <w:sz w:val="24"/>
                <w:szCs w:val="24"/>
              </w:rPr>
              <w:t>万元人民币</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2分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按企业自有职工计算人均产值达到</w:t>
            </w:r>
            <w:r>
              <w:rPr>
                <w:rFonts w:hint="eastAsia" w:ascii="宋体" w:hAnsi="宋体" w:eastAsia="宋体"/>
                <w:color w:val="auto"/>
                <w:sz w:val="24"/>
                <w:szCs w:val="24"/>
                <w:lang w:val="en-US" w:eastAsia="zh-CN"/>
              </w:rPr>
              <w:t>25</w:t>
            </w:r>
            <w:r>
              <w:rPr>
                <w:rFonts w:hint="eastAsia" w:ascii="宋体" w:hAnsi="宋体" w:eastAsia="宋体"/>
                <w:color w:val="auto"/>
                <w:sz w:val="24"/>
                <w:szCs w:val="24"/>
              </w:rPr>
              <w:t>万元人民币得2分，每降低5万减0.5分，减完为止。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96" w:type="dxa"/>
            <w:vMerge w:val="continue"/>
            <w:noWrap w:val="0"/>
            <w:vAlign w:val="top"/>
          </w:tcPr>
          <w:p>
            <w:pPr>
              <w:spacing w:line="520" w:lineRule="exact"/>
              <w:ind w:firstLine="420"/>
              <w:rPr>
                <w:rFonts w:hint="eastAsia" w:ascii="宋体" w:hAnsi="宋体" w:eastAsia="宋体"/>
                <w:color w:val="auto"/>
                <w:sz w:val="21"/>
              </w:rPr>
            </w:pPr>
          </w:p>
        </w:tc>
        <w:tc>
          <w:tcPr>
            <w:tcW w:w="2467"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4、净资产收益率</w:t>
            </w:r>
          </w:p>
        </w:tc>
        <w:tc>
          <w:tcPr>
            <w:tcW w:w="3438"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大于5%</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净资产收益率大于5%者得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分，每降低1%减0.5分，减完为止。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96" w:type="dxa"/>
            <w:vMerge w:val="continue"/>
            <w:noWrap w:val="0"/>
            <w:vAlign w:val="top"/>
          </w:tcPr>
          <w:p>
            <w:pPr>
              <w:spacing w:line="520" w:lineRule="exact"/>
              <w:ind w:firstLine="420"/>
              <w:rPr>
                <w:rFonts w:hint="eastAsia" w:ascii="宋体" w:hAnsi="宋体" w:eastAsia="宋体"/>
                <w:color w:val="auto"/>
                <w:sz w:val="21"/>
              </w:rPr>
            </w:pPr>
          </w:p>
        </w:tc>
        <w:tc>
          <w:tcPr>
            <w:tcW w:w="2467"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5、资产负债率</w:t>
            </w:r>
          </w:p>
        </w:tc>
        <w:tc>
          <w:tcPr>
            <w:tcW w:w="3438"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小于80%</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2分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资产负债率小于80%者得2分，每增加5%减1分，减完为止。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vMerge w:val="continue"/>
            <w:noWrap w:val="0"/>
            <w:vAlign w:val="top"/>
          </w:tcPr>
          <w:p>
            <w:pPr>
              <w:spacing w:line="520" w:lineRule="exact"/>
              <w:ind w:firstLine="420"/>
              <w:rPr>
                <w:rFonts w:hint="eastAsia" w:ascii="宋体" w:hAnsi="宋体" w:eastAsia="宋体"/>
                <w:color w:val="auto"/>
                <w:sz w:val="21"/>
              </w:rPr>
            </w:pPr>
          </w:p>
        </w:tc>
        <w:tc>
          <w:tcPr>
            <w:tcW w:w="2467"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6、产值利润率</w:t>
            </w:r>
          </w:p>
        </w:tc>
        <w:tc>
          <w:tcPr>
            <w:tcW w:w="3438"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大于2%</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2分</w:t>
            </w:r>
          </w:p>
        </w:tc>
        <w:tc>
          <w:tcPr>
            <w:tcW w:w="5204" w:type="dxa"/>
            <w:noWrap w:val="0"/>
            <w:tcMar>
              <w:top w:w="85" w:type="dxa"/>
              <w:bottom w:w="85" w:type="dxa"/>
            </w:tcMar>
            <w:vAlign w:val="center"/>
          </w:tcPr>
          <w:p>
            <w:pPr>
              <w:snapToGrid w:val="0"/>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产值利润率大于2%者得2分，每减少0.5%减0.5分，减完为止。</w:t>
            </w:r>
          </w:p>
        </w:tc>
      </w:tr>
    </w:tbl>
    <w:p>
      <w:pPr>
        <w:spacing w:line="60" w:lineRule="exact"/>
        <w:ind w:firstLine="420"/>
        <w:rPr>
          <w:rFonts w:ascii="宋体" w:hAnsi="宋体" w:eastAsia="宋体"/>
          <w:color w:val="auto"/>
          <w:sz w:val="21"/>
        </w:rPr>
      </w:pPr>
      <w:r>
        <w:rPr>
          <w:rFonts w:ascii="宋体" w:hAnsi="宋体" w:eastAsia="宋体"/>
          <w:color w:val="auto"/>
          <w:sz w:val="21"/>
        </w:rPr>
        <w:br w:type="page"/>
      </w:r>
    </w:p>
    <w:tbl>
      <w:tblPr>
        <w:tblStyle w:val="5"/>
        <w:tblW w:w="130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2115"/>
        <w:gridCol w:w="3300"/>
        <w:gridCol w:w="855"/>
        <w:gridCol w:w="5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58"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评价内容</w:t>
            </w:r>
          </w:p>
        </w:tc>
        <w:tc>
          <w:tcPr>
            <w:tcW w:w="2115"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主要评价指标</w:t>
            </w:r>
          </w:p>
        </w:tc>
        <w:tc>
          <w:tcPr>
            <w:tcW w:w="3300" w:type="dxa"/>
            <w:noWrap w:val="0"/>
            <w:vAlign w:val="center"/>
          </w:tcPr>
          <w:p>
            <w:pPr>
              <w:tabs>
                <w:tab w:val="left" w:pos="1602"/>
              </w:tabs>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标准内容</w:t>
            </w:r>
          </w:p>
        </w:tc>
        <w:tc>
          <w:tcPr>
            <w:tcW w:w="855"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标准</w:t>
            </w:r>
          </w:p>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分数</w:t>
            </w:r>
          </w:p>
        </w:tc>
        <w:tc>
          <w:tcPr>
            <w:tcW w:w="5217" w:type="dxa"/>
            <w:noWrap w:val="0"/>
            <w:vAlign w:val="center"/>
          </w:tcPr>
          <w:p>
            <w:pPr>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58" w:type="dxa"/>
            <w:vMerge w:val="restart"/>
            <w:noWrap w:val="0"/>
            <w:vAlign w:val="center"/>
          </w:tcPr>
          <w:p>
            <w:pPr>
              <w:spacing w:line="520" w:lineRule="exact"/>
              <w:ind w:left="354" w:right="-31" w:rightChars="-15" w:hanging="354" w:hangingChars="147"/>
              <w:rPr>
                <w:rFonts w:hint="eastAsia" w:ascii="宋体" w:hAnsi="宋体" w:eastAsia="宋体"/>
                <w:b/>
                <w:color w:val="auto"/>
                <w:sz w:val="24"/>
              </w:rPr>
            </w:pPr>
            <w:r>
              <w:rPr>
                <w:rFonts w:hint="eastAsia" w:ascii="宋体" w:hAnsi="宋体" w:eastAsia="宋体"/>
                <w:b/>
                <w:color w:val="auto"/>
                <w:sz w:val="24"/>
              </w:rPr>
              <w:t>三、管理指标</w:t>
            </w:r>
            <w:r>
              <w:rPr>
                <w:rFonts w:hint="eastAsia" w:ascii="宋体" w:hAnsi="宋体" w:eastAsia="宋体"/>
                <w:b/>
                <w:color w:val="auto"/>
                <w:sz w:val="24"/>
                <w:lang w:val="en-US" w:eastAsia="zh-CN"/>
              </w:rPr>
              <w:t>30</w:t>
            </w:r>
            <w:r>
              <w:rPr>
                <w:rFonts w:hint="eastAsia" w:ascii="宋体" w:hAnsi="宋体" w:eastAsia="宋体"/>
                <w:b/>
                <w:color w:val="auto"/>
                <w:sz w:val="24"/>
              </w:rPr>
              <w:t>分</w:t>
            </w:r>
          </w:p>
        </w:tc>
        <w:tc>
          <w:tcPr>
            <w:tcW w:w="2115"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1、工程质量</w:t>
            </w:r>
          </w:p>
        </w:tc>
        <w:tc>
          <w:tcPr>
            <w:tcW w:w="3300" w:type="dxa"/>
            <w:noWrap w:val="0"/>
            <w:vAlign w:val="center"/>
          </w:tcPr>
          <w:p>
            <w:pPr>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工程质量合格率100%；无直接经济损失100万元人民币以上的质量事故，工程质量创优</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tc>
        <w:tc>
          <w:tcPr>
            <w:tcW w:w="5217" w:type="dxa"/>
            <w:noWrap w:val="0"/>
            <w:tcMar>
              <w:top w:w="113" w:type="dxa"/>
              <w:bottom w:w="113" w:type="dxa"/>
            </w:tcMar>
            <w:vAlign w:val="center"/>
          </w:tcPr>
          <w:p>
            <w:pPr>
              <w:numPr>
                <w:ilvl w:val="0"/>
                <w:numId w:val="1"/>
              </w:numPr>
              <w:tabs>
                <w:tab w:val="left" w:pos="377"/>
              </w:tabs>
              <w:spacing w:line="320" w:lineRule="exact"/>
              <w:ind w:left="365" w:hanging="398" w:hangingChars="166"/>
              <w:rPr>
                <w:rFonts w:hint="eastAsia" w:ascii="宋体" w:hAnsi="宋体" w:eastAsia="宋体"/>
                <w:color w:val="auto"/>
                <w:sz w:val="24"/>
                <w:szCs w:val="24"/>
              </w:rPr>
            </w:pPr>
            <w:r>
              <w:rPr>
                <w:rFonts w:hint="eastAsia" w:ascii="宋体" w:hAnsi="宋体" w:eastAsia="宋体"/>
                <w:color w:val="auto"/>
                <w:sz w:val="24"/>
                <w:szCs w:val="24"/>
              </w:rPr>
              <w:t>已竣工工程质量</w:t>
            </w:r>
            <w:r>
              <w:rPr>
                <w:rFonts w:hint="eastAsia" w:ascii="宋体" w:hAnsi="宋体" w:eastAsia="宋体" w:cs="Times New Roman"/>
                <w:color w:val="auto"/>
                <w:sz w:val="24"/>
                <w:szCs w:val="24"/>
              </w:rPr>
              <w:t>合格</w:t>
            </w:r>
            <w:r>
              <w:rPr>
                <w:rFonts w:hint="eastAsia" w:ascii="宋体" w:hAnsi="宋体" w:eastAsia="宋体"/>
                <w:color w:val="auto"/>
                <w:sz w:val="24"/>
                <w:szCs w:val="24"/>
              </w:rPr>
              <w:t>率100%的得4分，不符合的不得分；</w:t>
            </w:r>
          </w:p>
          <w:p>
            <w:pPr>
              <w:numPr>
                <w:ilvl w:val="0"/>
                <w:numId w:val="1"/>
              </w:numPr>
              <w:tabs>
                <w:tab w:val="left" w:pos="377"/>
              </w:tabs>
              <w:spacing w:line="320" w:lineRule="exact"/>
              <w:ind w:left="365" w:hanging="398" w:hangingChars="166"/>
              <w:rPr>
                <w:rFonts w:hint="eastAsia" w:ascii="宋体" w:hAnsi="宋体" w:eastAsia="宋体"/>
                <w:color w:val="auto"/>
                <w:sz w:val="24"/>
                <w:szCs w:val="24"/>
              </w:rPr>
            </w:pPr>
            <w:r>
              <w:rPr>
                <w:rFonts w:hint="eastAsia" w:ascii="宋体" w:hAnsi="宋体" w:eastAsia="宋体"/>
                <w:color w:val="auto"/>
                <w:sz w:val="24"/>
                <w:szCs w:val="24"/>
              </w:rPr>
              <w:t>作为</w:t>
            </w:r>
            <w:r>
              <w:rPr>
                <w:rFonts w:hint="eastAsia" w:ascii="宋体" w:hAnsi="宋体" w:eastAsia="宋体" w:cs="Times New Roman"/>
                <w:color w:val="auto"/>
                <w:sz w:val="24"/>
                <w:szCs w:val="24"/>
              </w:rPr>
              <w:t>承建</w:t>
            </w:r>
            <w:r>
              <w:rPr>
                <w:rFonts w:hint="eastAsia" w:ascii="宋体" w:hAnsi="宋体" w:eastAsia="宋体"/>
                <w:color w:val="auto"/>
                <w:sz w:val="24"/>
                <w:szCs w:val="24"/>
              </w:rPr>
              <w:t>单位，获得鲁班奖、国家优质工程奖金奖的每项得</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分，</w:t>
            </w:r>
            <w:r>
              <w:rPr>
                <w:rFonts w:hint="eastAsia" w:ascii="宋体" w:hAnsi="宋体" w:eastAsia="宋体"/>
                <w:strike w:val="0"/>
                <w:dstrike w:val="0"/>
                <w:color w:val="auto"/>
                <w:sz w:val="24"/>
                <w:szCs w:val="24"/>
              </w:rPr>
              <w:t>获得其他国家级工程奖项的每项得</w:t>
            </w:r>
            <w:r>
              <w:rPr>
                <w:rFonts w:hint="eastAsia" w:ascii="宋体" w:hAnsi="宋体" w:eastAsia="宋体"/>
                <w:strike w:val="0"/>
                <w:dstrike w:val="0"/>
                <w:color w:val="auto"/>
                <w:sz w:val="24"/>
                <w:szCs w:val="24"/>
                <w:lang w:val="en-US" w:eastAsia="zh-CN"/>
              </w:rPr>
              <w:t>8</w:t>
            </w:r>
            <w:r>
              <w:rPr>
                <w:rFonts w:hint="eastAsia" w:ascii="宋体" w:hAnsi="宋体" w:eastAsia="宋体"/>
                <w:strike w:val="0"/>
                <w:dstrike w:val="0"/>
                <w:color w:val="auto"/>
                <w:sz w:val="24"/>
                <w:szCs w:val="24"/>
              </w:rPr>
              <w:t>分</w:t>
            </w:r>
            <w:r>
              <w:rPr>
                <w:rFonts w:hint="eastAsia" w:ascii="宋体" w:hAnsi="宋体" w:eastAsia="宋体"/>
                <w:strike w:val="0"/>
                <w:dstrike w:val="0"/>
                <w:color w:val="auto"/>
                <w:sz w:val="24"/>
                <w:szCs w:val="24"/>
                <w:lang w:eastAsia="zh-CN"/>
              </w:rPr>
              <w:t>，</w:t>
            </w:r>
            <w:r>
              <w:rPr>
                <w:rFonts w:hint="eastAsia" w:ascii="宋体" w:hAnsi="宋体" w:eastAsia="宋体"/>
                <w:color w:val="auto"/>
                <w:sz w:val="24"/>
                <w:szCs w:val="24"/>
              </w:rPr>
              <w:t>获得省级工程奖项的每项得</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分，</w:t>
            </w:r>
            <w:r>
              <w:rPr>
                <w:rFonts w:hint="eastAsia" w:ascii="宋体" w:hAnsi="宋体" w:eastAsia="宋体"/>
                <w:color w:val="auto"/>
                <w:sz w:val="24"/>
                <w:szCs w:val="24"/>
                <w:highlight w:val="none"/>
              </w:rPr>
              <w:t>获得</w:t>
            </w:r>
            <w:r>
              <w:rPr>
                <w:rFonts w:hint="eastAsia" w:ascii="宋体" w:hAnsi="宋体" w:eastAsia="宋体" w:cs="Times New Roman"/>
                <w:color w:val="auto"/>
                <w:sz w:val="24"/>
                <w:szCs w:val="24"/>
              </w:rPr>
              <w:t>市级</w:t>
            </w:r>
            <w:r>
              <w:rPr>
                <w:rFonts w:hint="eastAsia" w:ascii="宋体" w:hAnsi="宋体" w:eastAsia="宋体"/>
                <w:color w:val="auto"/>
                <w:sz w:val="24"/>
                <w:szCs w:val="24"/>
                <w:highlight w:val="none"/>
              </w:rPr>
              <w:t>工程奖项的每项得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r>
              <w:rPr>
                <w:rFonts w:hint="eastAsia" w:ascii="宋体" w:hAnsi="宋体" w:eastAsia="宋体"/>
                <w:color w:val="auto"/>
                <w:sz w:val="24"/>
                <w:szCs w:val="24"/>
              </w:rPr>
              <w:t>；（同一工程项目以最高奖计分）。</w:t>
            </w:r>
          </w:p>
          <w:p>
            <w:pPr>
              <w:numPr>
                <w:ilvl w:val="0"/>
                <w:numId w:val="1"/>
              </w:numPr>
              <w:tabs>
                <w:tab w:val="left" w:pos="377"/>
              </w:tabs>
              <w:spacing w:line="320" w:lineRule="exact"/>
              <w:ind w:left="365" w:hanging="398" w:hangingChars="166"/>
              <w:rPr>
                <w:rFonts w:hint="eastAsia" w:ascii="宋体" w:hAnsi="宋体" w:eastAsia="宋体"/>
                <w:color w:val="auto"/>
                <w:sz w:val="24"/>
                <w:szCs w:val="24"/>
              </w:rPr>
            </w:pPr>
            <w:r>
              <w:rPr>
                <w:rFonts w:hint="eastAsia" w:ascii="宋体" w:hAnsi="宋体" w:eastAsia="宋体"/>
                <w:color w:val="auto"/>
                <w:sz w:val="24"/>
                <w:szCs w:val="24"/>
              </w:rPr>
              <w:t>每发生一起经济损失100万元人民币以上的质量事故者减1分，减完为止。</w:t>
            </w:r>
          </w:p>
          <w:p>
            <w:pPr>
              <w:numPr>
                <w:ilvl w:val="0"/>
                <w:numId w:val="1"/>
              </w:numPr>
              <w:tabs>
                <w:tab w:val="left" w:pos="377"/>
              </w:tabs>
              <w:spacing w:line="320" w:lineRule="exact"/>
              <w:ind w:left="365" w:hanging="398" w:hangingChars="166"/>
              <w:rPr>
                <w:rFonts w:hint="eastAsia" w:ascii="宋体" w:hAnsi="宋体" w:eastAsia="宋体"/>
                <w:color w:val="auto"/>
                <w:sz w:val="24"/>
                <w:szCs w:val="24"/>
              </w:rPr>
            </w:pPr>
            <w:r>
              <w:rPr>
                <w:rFonts w:hint="eastAsia" w:ascii="宋体" w:hAnsi="宋体" w:eastAsia="宋体"/>
                <w:color w:val="auto"/>
                <w:sz w:val="24"/>
                <w:szCs w:val="24"/>
              </w:rPr>
              <w:t>本项满分可得</w:t>
            </w:r>
            <w:r>
              <w:rPr>
                <w:rFonts w:hint="eastAsia" w:ascii="宋体" w:hAnsi="宋体" w:eastAsia="宋体"/>
                <w:color w:val="auto"/>
                <w:sz w:val="24"/>
                <w:szCs w:val="24"/>
                <w:lang w:val="en-US" w:eastAsia="zh-CN"/>
              </w:rPr>
              <w:t>12</w:t>
            </w:r>
            <w:r>
              <w:rPr>
                <w:rFonts w:hint="eastAsia" w:ascii="宋体" w:hAnsi="宋体" w:eastAsia="宋体"/>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70" w:hRule="atLeast"/>
          <w:jc w:val="center"/>
        </w:trPr>
        <w:tc>
          <w:tcPr>
            <w:tcW w:w="1558" w:type="dxa"/>
            <w:vMerge w:val="continue"/>
            <w:noWrap w:val="0"/>
            <w:vAlign w:val="center"/>
          </w:tcPr>
          <w:p>
            <w:pPr>
              <w:spacing w:line="520" w:lineRule="exact"/>
              <w:ind w:left="354" w:right="-31" w:rightChars="-15" w:hanging="354" w:hangingChars="147"/>
              <w:rPr>
                <w:rFonts w:hint="eastAsia" w:ascii="宋体" w:hAnsi="宋体" w:eastAsia="宋体"/>
                <w:b/>
                <w:color w:val="auto"/>
                <w:sz w:val="24"/>
              </w:rPr>
            </w:pPr>
          </w:p>
        </w:tc>
        <w:tc>
          <w:tcPr>
            <w:tcW w:w="2115" w:type="dxa"/>
            <w:noWrap w:val="0"/>
            <w:vAlign w:val="center"/>
          </w:tcPr>
          <w:p>
            <w:pPr>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2、安全生产、文明施工</w:t>
            </w:r>
          </w:p>
        </w:tc>
        <w:tc>
          <w:tcPr>
            <w:tcW w:w="3300" w:type="dxa"/>
            <w:noWrap w:val="0"/>
            <w:vAlign w:val="center"/>
          </w:tcPr>
          <w:p>
            <w:pPr>
              <w:spacing w:line="36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企业建立文明施工的标准、监督、考评制度；无生产安全较大事故发生；无环保、卫生、治安、消防等部门的重大处罚；获省或市安全文明双优工地称号</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8</w:t>
            </w:r>
            <w:r>
              <w:rPr>
                <w:rFonts w:hint="eastAsia" w:ascii="宋体" w:hAnsi="宋体" w:eastAsia="宋体"/>
                <w:color w:val="auto"/>
                <w:sz w:val="24"/>
                <w:szCs w:val="24"/>
              </w:rPr>
              <w:t>分</w:t>
            </w:r>
          </w:p>
        </w:tc>
        <w:tc>
          <w:tcPr>
            <w:tcW w:w="5217" w:type="dxa"/>
            <w:noWrap w:val="0"/>
            <w:tcMar>
              <w:top w:w="113" w:type="dxa"/>
              <w:bottom w:w="113" w:type="dxa"/>
            </w:tcMar>
            <w:vAlign w:val="center"/>
          </w:tcPr>
          <w:p>
            <w:pPr>
              <w:tabs>
                <w:tab w:val="left" w:pos="377"/>
              </w:tabs>
              <w:spacing w:line="336" w:lineRule="exact"/>
              <w:ind w:left="330" w:hanging="360" w:hangingChars="150"/>
              <w:rPr>
                <w:rFonts w:hint="eastAsia" w:ascii="宋体" w:hAnsi="宋体" w:eastAsia="宋体"/>
                <w:color w:val="auto"/>
                <w:sz w:val="24"/>
                <w:szCs w:val="24"/>
              </w:rPr>
            </w:pPr>
            <w:r>
              <w:rPr>
                <w:rFonts w:hint="eastAsia" w:ascii="宋体" w:hAnsi="宋体" w:eastAsia="宋体"/>
                <w:color w:val="auto"/>
                <w:sz w:val="24"/>
                <w:szCs w:val="24"/>
              </w:rPr>
              <w:t>1、无生产安全事故的得5分，发生一般生产安全事故的每起减2分，发生生产安全较大事故者不得分。</w:t>
            </w:r>
          </w:p>
          <w:p>
            <w:pPr>
              <w:tabs>
                <w:tab w:val="left" w:pos="377"/>
              </w:tabs>
              <w:spacing w:line="336" w:lineRule="exact"/>
              <w:ind w:left="330" w:hanging="360" w:hangingChars="150"/>
              <w:rPr>
                <w:rFonts w:hint="eastAsia" w:ascii="宋体" w:hAnsi="宋体" w:eastAsia="宋体"/>
                <w:color w:val="auto"/>
                <w:sz w:val="24"/>
                <w:szCs w:val="24"/>
              </w:rPr>
            </w:pPr>
            <w:r>
              <w:rPr>
                <w:rFonts w:hint="eastAsia" w:ascii="宋体" w:hAnsi="宋体" w:eastAsia="宋体"/>
                <w:color w:val="auto"/>
                <w:sz w:val="24"/>
                <w:szCs w:val="24"/>
              </w:rPr>
              <w:t>2、获得省级及以上房屋市政工程安全生产文明施工示范工地或省建筑装饰工程绿色文明工地的每项得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分，市级文明工地的每项得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分（同一工程项目以最高奖计分，满分3分）。</w:t>
            </w:r>
          </w:p>
          <w:p>
            <w:pPr>
              <w:tabs>
                <w:tab w:val="left" w:pos="377"/>
              </w:tabs>
              <w:spacing w:line="336" w:lineRule="exact"/>
              <w:ind w:left="330" w:hanging="360" w:hangingChars="150"/>
              <w:rPr>
                <w:rFonts w:hint="eastAsia" w:ascii="宋体" w:hAnsi="宋体" w:eastAsia="宋体"/>
                <w:color w:val="auto"/>
                <w:sz w:val="24"/>
                <w:szCs w:val="24"/>
              </w:rPr>
            </w:pPr>
            <w:r>
              <w:rPr>
                <w:rFonts w:hint="eastAsia" w:ascii="宋体" w:hAnsi="宋体" w:eastAsia="宋体"/>
                <w:color w:val="auto"/>
                <w:sz w:val="24"/>
                <w:szCs w:val="24"/>
              </w:rPr>
              <w:t>3、企业未建立文明施工标准、监督、考评制度的不得分；每受一次环保、卫生、治安、消防等重大处罚的减0.5分，减完为止。</w:t>
            </w:r>
          </w:p>
        </w:tc>
      </w:tr>
    </w:tbl>
    <w:p>
      <w:pPr>
        <w:spacing w:line="520" w:lineRule="exact"/>
        <w:ind w:firstLine="420"/>
        <w:rPr>
          <w:rFonts w:ascii="宋体" w:hAnsi="宋体" w:eastAsia="宋体"/>
          <w:color w:val="auto"/>
          <w:sz w:val="21"/>
        </w:rPr>
      </w:pPr>
      <w:r>
        <w:rPr>
          <w:rFonts w:ascii="宋体" w:hAnsi="宋体" w:eastAsia="宋体"/>
          <w:color w:val="auto"/>
          <w:sz w:val="21"/>
        </w:rPr>
        <w:br w:type="page"/>
      </w:r>
    </w:p>
    <w:tbl>
      <w:tblPr>
        <w:tblStyle w:val="5"/>
        <w:tblW w:w="13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289"/>
        <w:gridCol w:w="3207"/>
        <w:gridCol w:w="855"/>
        <w:gridCol w:w="5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00"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评价内容</w:t>
            </w:r>
          </w:p>
        </w:tc>
        <w:tc>
          <w:tcPr>
            <w:tcW w:w="2289" w:type="dxa"/>
            <w:noWrap w:val="0"/>
            <w:vAlign w:val="center"/>
          </w:tcPr>
          <w:p>
            <w:pPr>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主要评价指标</w:t>
            </w:r>
          </w:p>
        </w:tc>
        <w:tc>
          <w:tcPr>
            <w:tcW w:w="3207" w:type="dxa"/>
            <w:noWrap w:val="0"/>
            <w:vAlign w:val="center"/>
          </w:tcPr>
          <w:p>
            <w:pPr>
              <w:tabs>
                <w:tab w:val="left" w:pos="1602"/>
              </w:tabs>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标准内容</w:t>
            </w:r>
          </w:p>
        </w:tc>
        <w:tc>
          <w:tcPr>
            <w:tcW w:w="855"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标准</w:t>
            </w:r>
          </w:p>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分数</w:t>
            </w:r>
          </w:p>
        </w:tc>
        <w:tc>
          <w:tcPr>
            <w:tcW w:w="5240" w:type="dxa"/>
            <w:noWrap w:val="0"/>
            <w:vAlign w:val="center"/>
          </w:tcPr>
          <w:p>
            <w:pPr>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Merge w:val="restart"/>
            <w:noWrap w:val="0"/>
            <w:vAlign w:val="center"/>
          </w:tcPr>
          <w:p>
            <w:pPr>
              <w:spacing w:line="520" w:lineRule="exact"/>
              <w:ind w:left="354" w:right="-42" w:rightChars="-20" w:hanging="354" w:hangingChars="147"/>
              <w:rPr>
                <w:rFonts w:hint="eastAsia" w:ascii="宋体" w:hAnsi="宋体" w:eastAsia="宋体"/>
                <w:b/>
                <w:color w:val="auto"/>
                <w:sz w:val="24"/>
              </w:rPr>
            </w:pPr>
            <w:r>
              <w:rPr>
                <w:rFonts w:hint="eastAsia" w:ascii="宋体" w:hAnsi="宋体" w:eastAsia="宋体"/>
                <w:b/>
                <w:color w:val="auto"/>
                <w:sz w:val="24"/>
              </w:rPr>
              <w:t>三、管理指标</w:t>
            </w:r>
            <w:r>
              <w:rPr>
                <w:rFonts w:hint="eastAsia" w:ascii="宋体" w:hAnsi="宋体" w:eastAsia="宋体"/>
                <w:b/>
                <w:color w:val="auto"/>
                <w:sz w:val="24"/>
                <w:lang w:val="en-US" w:eastAsia="zh-CN"/>
              </w:rPr>
              <w:t>30</w:t>
            </w:r>
            <w:r>
              <w:rPr>
                <w:rFonts w:hint="eastAsia" w:ascii="宋体" w:hAnsi="宋体" w:eastAsia="宋体"/>
                <w:b/>
                <w:color w:val="auto"/>
                <w:sz w:val="24"/>
              </w:rPr>
              <w:t>分</w:t>
            </w:r>
          </w:p>
        </w:tc>
        <w:tc>
          <w:tcPr>
            <w:tcW w:w="2289"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3、绿色施工评价</w:t>
            </w:r>
          </w:p>
        </w:tc>
        <w:tc>
          <w:tcPr>
            <w:tcW w:w="3207"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贯彻执行节约资源和保护环境的国家技术经济政策，推进建筑业可持续发展</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tc>
        <w:tc>
          <w:tcPr>
            <w:tcW w:w="5240" w:type="dxa"/>
            <w:noWrap w:val="0"/>
            <w:tcMar>
              <w:top w:w="113" w:type="dxa"/>
              <w:bottom w:w="113" w:type="dxa"/>
            </w:tcMar>
            <w:vAlign w:val="center"/>
          </w:tcPr>
          <w:p>
            <w:pPr>
              <w:spacing w:line="320" w:lineRule="exact"/>
              <w:ind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执行《广东省建筑工程绿色施工评价标准》有节约资源和保护环境的国家技术经济政策，推进建筑业可持续发展制度者得3分，每缺少一项减1分，减完为止。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Merge w:val="continue"/>
            <w:noWrap w:val="0"/>
            <w:vAlign w:val="center"/>
          </w:tcPr>
          <w:p>
            <w:pPr>
              <w:spacing w:line="520" w:lineRule="exact"/>
              <w:ind w:left="354" w:right="-42" w:rightChars="-20" w:hanging="354" w:hangingChars="147"/>
              <w:rPr>
                <w:rFonts w:hint="eastAsia" w:ascii="宋体" w:hAnsi="宋体" w:eastAsia="宋体"/>
                <w:b/>
                <w:color w:val="auto"/>
                <w:sz w:val="24"/>
              </w:rPr>
            </w:pPr>
          </w:p>
        </w:tc>
        <w:tc>
          <w:tcPr>
            <w:tcW w:w="2289"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4、劳资管理</w:t>
            </w:r>
          </w:p>
        </w:tc>
        <w:tc>
          <w:tcPr>
            <w:tcW w:w="3207"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依法与劳动者签订劳动合同，按照规定为劳动者投保，不拖欠或克扣劳动者工资；劳务作业分包必须使用有资质的劳务企业</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分</w:t>
            </w:r>
          </w:p>
        </w:tc>
        <w:tc>
          <w:tcPr>
            <w:tcW w:w="5240" w:type="dxa"/>
            <w:noWrap w:val="0"/>
            <w:tcMar>
              <w:top w:w="113" w:type="dxa"/>
              <w:bottom w:w="113" w:type="dxa"/>
            </w:tcMar>
            <w:vAlign w:val="center"/>
          </w:tcPr>
          <w:p>
            <w:pPr>
              <w:spacing w:line="360" w:lineRule="exact"/>
              <w:ind w:firstLine="440"/>
              <w:rPr>
                <w:rFonts w:hint="eastAsia" w:ascii="宋体" w:hAnsi="宋体" w:eastAsia="宋体"/>
                <w:color w:val="auto"/>
                <w:sz w:val="24"/>
                <w:szCs w:val="24"/>
              </w:rPr>
            </w:pPr>
            <w:r>
              <w:rPr>
                <w:rFonts w:hint="eastAsia" w:ascii="宋体" w:hAnsi="宋体" w:eastAsia="宋体"/>
                <w:color w:val="auto"/>
                <w:sz w:val="24"/>
                <w:szCs w:val="24"/>
              </w:rPr>
              <w:t>1、每发生1人次未签订劳动合同或未投保的，减0.2分；劳务作业分包应使用有资质的劳务企业，每一项不合格减1分，减完为止。</w:t>
            </w:r>
          </w:p>
          <w:p>
            <w:pPr>
              <w:spacing w:line="360" w:lineRule="exact"/>
              <w:ind w:firstLine="600" w:firstLineChars="250"/>
              <w:rPr>
                <w:rFonts w:hint="eastAsia" w:ascii="宋体" w:hAnsi="宋体" w:eastAsia="宋体"/>
                <w:color w:val="auto"/>
                <w:sz w:val="24"/>
                <w:szCs w:val="24"/>
              </w:rPr>
            </w:pPr>
            <w:r>
              <w:rPr>
                <w:rFonts w:hint="eastAsia" w:ascii="宋体" w:hAnsi="宋体" w:eastAsia="宋体"/>
                <w:color w:val="auto"/>
                <w:sz w:val="24"/>
                <w:szCs w:val="24"/>
              </w:rPr>
              <w:t>2、因劳资纠纷发生重大群体事件且负有责任者，不得分。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Merge w:val="continue"/>
            <w:noWrap w:val="0"/>
            <w:vAlign w:val="center"/>
          </w:tcPr>
          <w:p>
            <w:pPr>
              <w:spacing w:line="520" w:lineRule="exact"/>
              <w:ind w:left="354" w:right="-42" w:rightChars="-20" w:hanging="354" w:hangingChars="147"/>
              <w:rPr>
                <w:rFonts w:hint="eastAsia" w:ascii="宋体" w:hAnsi="宋体" w:eastAsia="宋体"/>
                <w:b/>
                <w:color w:val="auto"/>
                <w:sz w:val="24"/>
              </w:rPr>
            </w:pPr>
          </w:p>
        </w:tc>
        <w:tc>
          <w:tcPr>
            <w:tcW w:w="2289"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5、职工教育经费</w:t>
            </w:r>
          </w:p>
        </w:tc>
        <w:tc>
          <w:tcPr>
            <w:tcW w:w="3207"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职工继续教育经费占企业总产值比率大于0.3%；建立职工绩效考核与激励制度</w:t>
            </w:r>
          </w:p>
        </w:tc>
        <w:tc>
          <w:tcPr>
            <w:tcW w:w="855"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tc>
        <w:tc>
          <w:tcPr>
            <w:tcW w:w="5240" w:type="dxa"/>
            <w:noWrap w:val="0"/>
            <w:tcMar>
              <w:top w:w="113" w:type="dxa"/>
              <w:bottom w:w="113" w:type="dxa"/>
            </w:tcMar>
            <w:vAlign w:val="center"/>
          </w:tcPr>
          <w:p>
            <w:pPr>
              <w:spacing w:line="360" w:lineRule="exact"/>
              <w:ind w:firstLine="440"/>
              <w:rPr>
                <w:rFonts w:hint="eastAsia" w:ascii="宋体" w:hAnsi="宋体" w:eastAsia="宋体"/>
                <w:color w:val="auto"/>
                <w:sz w:val="24"/>
                <w:szCs w:val="24"/>
              </w:rPr>
            </w:pPr>
            <w:r>
              <w:rPr>
                <w:rFonts w:hint="eastAsia" w:ascii="宋体" w:hAnsi="宋体" w:eastAsia="宋体"/>
                <w:color w:val="auto"/>
                <w:sz w:val="24"/>
                <w:szCs w:val="24"/>
              </w:rPr>
              <w:t>职工继续教育经费占企业总产值比率大于0.</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%，并建立合理有效的职工绩效考核与激励制度得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tc>
      </w:tr>
    </w:tbl>
    <w:p>
      <w:pPr>
        <w:spacing w:line="60" w:lineRule="exact"/>
        <w:ind w:firstLine="420"/>
        <w:rPr>
          <w:rFonts w:ascii="宋体" w:hAnsi="宋体" w:eastAsia="宋体"/>
          <w:color w:val="auto"/>
          <w:sz w:val="21"/>
        </w:rPr>
      </w:pPr>
      <w:r>
        <w:rPr>
          <w:rFonts w:ascii="宋体" w:hAnsi="宋体" w:eastAsia="宋体"/>
          <w:color w:val="auto"/>
          <w:sz w:val="21"/>
        </w:rPr>
        <w:br w:type="page"/>
      </w:r>
    </w:p>
    <w:tbl>
      <w:tblPr>
        <w:tblStyle w:val="5"/>
        <w:tblW w:w="131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341"/>
        <w:gridCol w:w="3260"/>
        <w:gridCol w:w="851"/>
        <w:gridCol w:w="5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8"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评价内容</w:t>
            </w:r>
          </w:p>
        </w:tc>
        <w:tc>
          <w:tcPr>
            <w:tcW w:w="2341"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主要评价指标</w:t>
            </w:r>
          </w:p>
        </w:tc>
        <w:tc>
          <w:tcPr>
            <w:tcW w:w="3260" w:type="dxa"/>
            <w:noWrap w:val="0"/>
            <w:vAlign w:val="center"/>
          </w:tcPr>
          <w:p>
            <w:pPr>
              <w:tabs>
                <w:tab w:val="left" w:pos="1602"/>
              </w:tabs>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标准内容</w:t>
            </w:r>
          </w:p>
        </w:tc>
        <w:tc>
          <w:tcPr>
            <w:tcW w:w="851"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标准</w:t>
            </w:r>
          </w:p>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分数</w:t>
            </w:r>
          </w:p>
        </w:tc>
        <w:tc>
          <w:tcPr>
            <w:tcW w:w="5259" w:type="dxa"/>
            <w:noWrap w:val="0"/>
            <w:vAlign w:val="center"/>
          </w:tcPr>
          <w:p>
            <w:pPr>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18" w:type="dxa"/>
            <w:vMerge w:val="restart"/>
            <w:noWrap w:val="0"/>
            <w:vAlign w:val="center"/>
          </w:tcPr>
          <w:p>
            <w:pPr>
              <w:spacing w:line="520" w:lineRule="exact"/>
              <w:ind w:left="354" w:right="-31" w:rightChars="-15" w:hanging="354" w:hangingChars="147"/>
              <w:jc w:val="center"/>
              <w:rPr>
                <w:rFonts w:hint="eastAsia" w:ascii="宋体" w:hAnsi="宋体" w:eastAsia="宋体"/>
                <w:color w:val="auto"/>
                <w:sz w:val="21"/>
              </w:rPr>
            </w:pPr>
            <w:r>
              <w:rPr>
                <w:rFonts w:hint="eastAsia" w:ascii="宋体" w:hAnsi="宋体" w:eastAsia="宋体"/>
                <w:b/>
                <w:color w:val="auto"/>
                <w:sz w:val="24"/>
              </w:rPr>
              <w:t>四、科技创新指标</w:t>
            </w:r>
            <w:r>
              <w:rPr>
                <w:rFonts w:hint="eastAsia" w:ascii="宋体" w:hAnsi="宋体" w:eastAsia="宋体"/>
                <w:b/>
                <w:color w:val="auto"/>
                <w:sz w:val="24"/>
                <w:lang w:val="en-US" w:eastAsia="zh-CN"/>
              </w:rPr>
              <w:t>15</w:t>
            </w:r>
            <w:r>
              <w:rPr>
                <w:rFonts w:hint="eastAsia" w:ascii="宋体" w:hAnsi="宋体" w:eastAsia="宋体"/>
                <w:b/>
                <w:color w:val="auto"/>
                <w:sz w:val="24"/>
              </w:rPr>
              <w:t>分</w:t>
            </w:r>
          </w:p>
        </w:tc>
        <w:tc>
          <w:tcPr>
            <w:tcW w:w="2341"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1、技术创新规划</w:t>
            </w:r>
          </w:p>
        </w:tc>
        <w:tc>
          <w:tcPr>
            <w:tcW w:w="3260"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建立企业发展战略，有技术创新规划或年度技术创新措施，有技术研发机构</w:t>
            </w:r>
          </w:p>
        </w:tc>
        <w:tc>
          <w:tcPr>
            <w:tcW w:w="851"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2分</w:t>
            </w:r>
          </w:p>
        </w:tc>
        <w:tc>
          <w:tcPr>
            <w:tcW w:w="5259" w:type="dxa"/>
            <w:noWrap w:val="0"/>
            <w:tcMar>
              <w:top w:w="113" w:type="dxa"/>
              <w:bottom w:w="113" w:type="dxa"/>
            </w:tcMar>
            <w:vAlign w:val="center"/>
          </w:tcPr>
          <w:p>
            <w:pPr>
              <w:spacing w:line="360" w:lineRule="exact"/>
              <w:ind w:firstLine="440"/>
              <w:rPr>
                <w:rFonts w:hint="eastAsia" w:ascii="宋体" w:hAnsi="宋体" w:eastAsia="宋体"/>
                <w:color w:val="auto"/>
                <w:sz w:val="24"/>
                <w:szCs w:val="24"/>
              </w:rPr>
            </w:pPr>
            <w:r>
              <w:rPr>
                <w:rFonts w:hint="eastAsia" w:ascii="宋体" w:hAnsi="宋体" w:eastAsia="宋体"/>
                <w:color w:val="auto"/>
                <w:sz w:val="24"/>
                <w:szCs w:val="24"/>
              </w:rPr>
              <w:t>建立企业发展战略，有技术创新规划</w:t>
            </w:r>
            <w:r>
              <w:rPr>
                <w:rFonts w:hint="eastAsia" w:ascii="宋体" w:hAnsi="宋体" w:eastAsia="宋体"/>
                <w:color w:val="auto"/>
                <w:sz w:val="24"/>
                <w:szCs w:val="24"/>
                <w:lang w:eastAsia="zh-CN"/>
              </w:rPr>
              <w:t>、</w:t>
            </w:r>
            <w:r>
              <w:rPr>
                <w:rFonts w:hint="eastAsia" w:ascii="宋体" w:hAnsi="宋体" w:eastAsia="宋体"/>
                <w:color w:val="auto"/>
                <w:sz w:val="24"/>
                <w:szCs w:val="24"/>
              </w:rPr>
              <w:t>年度技术创新措施，有</w:t>
            </w:r>
            <w:r>
              <w:rPr>
                <w:rFonts w:hint="eastAsia" w:ascii="宋体" w:hAnsi="宋体" w:eastAsia="宋体" w:cs="Times New Roman"/>
                <w:color w:val="auto"/>
                <w:sz w:val="24"/>
                <w:szCs w:val="24"/>
              </w:rPr>
              <w:t>技术研发机构</w:t>
            </w:r>
            <w:r>
              <w:rPr>
                <w:rFonts w:hint="eastAsia" w:ascii="宋体" w:hAnsi="宋体" w:eastAsia="宋体"/>
                <w:color w:val="auto"/>
                <w:sz w:val="24"/>
                <w:szCs w:val="24"/>
              </w:rPr>
              <w:t>者得</w:t>
            </w:r>
            <w:r>
              <w:rPr>
                <w:rFonts w:hint="eastAsia" w:ascii="宋体" w:hAnsi="宋体"/>
                <w:color w:val="auto"/>
                <w:sz w:val="24"/>
                <w:szCs w:val="24"/>
                <w:lang w:val="en-US" w:eastAsia="zh-CN"/>
              </w:rPr>
              <w:t>3</w:t>
            </w:r>
            <w:r>
              <w:rPr>
                <w:rFonts w:hint="eastAsia" w:ascii="宋体" w:hAnsi="宋体" w:eastAsia="宋体"/>
                <w:color w:val="auto"/>
                <w:sz w:val="24"/>
                <w:szCs w:val="24"/>
              </w:rPr>
              <w:t>分。每缺少一项减0.5分，减完为止。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8" w:type="dxa"/>
            <w:vMerge w:val="continue"/>
            <w:noWrap w:val="0"/>
            <w:vAlign w:val="center"/>
          </w:tcPr>
          <w:p>
            <w:pPr>
              <w:spacing w:line="520" w:lineRule="exact"/>
              <w:ind w:left="354" w:right="-31" w:rightChars="-15" w:hanging="354" w:hangingChars="147"/>
              <w:jc w:val="center"/>
              <w:rPr>
                <w:rFonts w:hint="eastAsia" w:ascii="宋体" w:hAnsi="宋体" w:eastAsia="宋体"/>
                <w:b/>
                <w:color w:val="auto"/>
                <w:sz w:val="24"/>
              </w:rPr>
            </w:pPr>
          </w:p>
        </w:tc>
        <w:tc>
          <w:tcPr>
            <w:tcW w:w="2341" w:type="dxa"/>
            <w:noWrap w:val="0"/>
            <w:vAlign w:val="center"/>
          </w:tcPr>
          <w:p>
            <w:p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2、科技活动经费</w:t>
            </w:r>
          </w:p>
        </w:tc>
        <w:tc>
          <w:tcPr>
            <w:tcW w:w="3260"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科技研发经费投入占企业总产值大于0.5%</w:t>
            </w:r>
          </w:p>
        </w:tc>
        <w:tc>
          <w:tcPr>
            <w:tcW w:w="851"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tc>
        <w:tc>
          <w:tcPr>
            <w:tcW w:w="5259" w:type="dxa"/>
            <w:noWrap w:val="0"/>
            <w:tcMar>
              <w:top w:w="113" w:type="dxa"/>
              <w:bottom w:w="113" w:type="dxa"/>
            </w:tcMar>
            <w:vAlign w:val="center"/>
          </w:tcPr>
          <w:p>
            <w:pPr>
              <w:spacing w:line="360" w:lineRule="exact"/>
              <w:ind w:firstLine="440"/>
              <w:rPr>
                <w:rFonts w:hint="eastAsia" w:ascii="宋体" w:hAnsi="宋体" w:eastAsia="宋体"/>
                <w:color w:val="auto"/>
                <w:sz w:val="24"/>
                <w:szCs w:val="24"/>
              </w:rPr>
            </w:pPr>
            <w:r>
              <w:rPr>
                <w:rFonts w:hint="eastAsia" w:ascii="宋体" w:hAnsi="宋体" w:eastAsia="宋体"/>
                <w:color w:val="auto"/>
                <w:sz w:val="24"/>
                <w:szCs w:val="24"/>
              </w:rPr>
              <w:t>年均企业科技活动经费投入占总产值比率达到0.5%的得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分，达到0.3%的得2分，低于0.1%得1分，不足0.05%的不得分。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1418" w:type="dxa"/>
            <w:vMerge w:val="continue"/>
            <w:noWrap w:val="0"/>
            <w:vAlign w:val="center"/>
          </w:tcPr>
          <w:p>
            <w:pPr>
              <w:spacing w:line="520" w:lineRule="exact"/>
              <w:ind w:left="354" w:right="-31" w:rightChars="-15" w:hanging="354" w:hangingChars="147"/>
              <w:jc w:val="center"/>
              <w:rPr>
                <w:rFonts w:hint="eastAsia" w:ascii="宋体" w:hAnsi="宋体" w:eastAsia="宋体"/>
                <w:b/>
                <w:color w:val="auto"/>
                <w:sz w:val="24"/>
              </w:rPr>
            </w:pPr>
          </w:p>
        </w:tc>
        <w:tc>
          <w:tcPr>
            <w:tcW w:w="2341" w:type="dxa"/>
            <w:noWrap w:val="0"/>
            <w:vAlign w:val="center"/>
          </w:tcPr>
          <w:p>
            <w:pPr>
              <w:numPr>
                <w:ilvl w:val="0"/>
                <w:numId w:val="2"/>
              </w:numPr>
              <w:spacing w:line="320" w:lineRule="exact"/>
              <w:ind w:firstLine="0" w:firstLineChars="0"/>
              <w:rPr>
                <w:rFonts w:hint="eastAsia" w:ascii="宋体" w:hAnsi="宋体" w:eastAsia="宋体"/>
                <w:color w:val="auto"/>
                <w:sz w:val="24"/>
                <w:szCs w:val="24"/>
              </w:rPr>
            </w:pPr>
            <w:r>
              <w:rPr>
                <w:rFonts w:hint="eastAsia" w:ascii="宋体" w:hAnsi="宋体" w:eastAsia="宋体"/>
                <w:color w:val="auto"/>
                <w:sz w:val="24"/>
                <w:szCs w:val="24"/>
              </w:rPr>
              <w:t>技术创新成果</w:t>
            </w:r>
          </w:p>
          <w:p>
            <w:pPr>
              <w:numPr>
                <w:ilvl w:val="0"/>
                <w:numId w:val="0"/>
              </w:numPr>
              <w:spacing w:line="320" w:lineRule="exact"/>
              <w:rPr>
                <w:rFonts w:hint="eastAsia" w:ascii="宋体" w:hAnsi="宋体" w:eastAsia="宋体"/>
                <w:color w:val="auto"/>
                <w:sz w:val="24"/>
                <w:szCs w:val="24"/>
                <w:lang w:eastAsia="zh-CN"/>
              </w:rPr>
            </w:pPr>
          </w:p>
        </w:tc>
        <w:tc>
          <w:tcPr>
            <w:tcW w:w="3260"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lang w:eastAsia="zh-CN"/>
              </w:rPr>
              <w:t>有科技进步奖、工法、专利、新技术应用示范工程、绿色施工示范工程、</w:t>
            </w:r>
            <w:r>
              <w:rPr>
                <w:rFonts w:hint="eastAsia" w:ascii="宋体" w:hAnsi="宋体" w:eastAsia="宋体"/>
                <w:color w:val="auto"/>
                <w:sz w:val="24"/>
                <w:szCs w:val="24"/>
              </w:rPr>
              <w:t>QC小组活动成果奖</w:t>
            </w:r>
            <w:r>
              <w:rPr>
                <w:rFonts w:hint="eastAsia" w:ascii="宋体" w:hAnsi="宋体" w:eastAsia="宋体"/>
                <w:color w:val="auto"/>
                <w:sz w:val="24"/>
                <w:szCs w:val="24"/>
                <w:lang w:eastAsia="zh-CN"/>
              </w:rPr>
              <w:t>等</w:t>
            </w:r>
          </w:p>
        </w:tc>
        <w:tc>
          <w:tcPr>
            <w:tcW w:w="851"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分</w:t>
            </w:r>
          </w:p>
        </w:tc>
        <w:tc>
          <w:tcPr>
            <w:tcW w:w="5259" w:type="dxa"/>
            <w:noWrap w:val="0"/>
            <w:tcMar>
              <w:top w:w="113" w:type="dxa"/>
              <w:bottom w:w="113" w:type="dxa"/>
            </w:tcMar>
            <w:vAlign w:val="top"/>
          </w:tcPr>
          <w:p>
            <w:pPr>
              <w:numPr>
                <w:ilvl w:val="0"/>
                <w:numId w:val="3"/>
              </w:numPr>
              <w:spacing w:line="320" w:lineRule="exact"/>
              <w:ind w:firstLine="440"/>
              <w:rPr>
                <w:rFonts w:hint="eastAsia" w:ascii="宋体" w:hAnsi="宋体" w:eastAsia="宋体"/>
                <w:color w:val="auto"/>
                <w:sz w:val="24"/>
                <w:szCs w:val="24"/>
              </w:rPr>
            </w:pPr>
            <w:r>
              <w:rPr>
                <w:rFonts w:hint="eastAsia" w:ascii="宋体" w:hAnsi="宋体" w:eastAsia="宋体"/>
                <w:color w:val="auto"/>
                <w:sz w:val="24"/>
                <w:szCs w:val="24"/>
              </w:rPr>
              <w:t>获得工法（国家级得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分，省级得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分，地市级得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w:t>
            </w:r>
            <w:r>
              <w:rPr>
                <w:rFonts w:hint="eastAsia" w:ascii="宋体" w:hAnsi="宋体" w:eastAsia="宋体"/>
                <w:color w:val="auto"/>
                <w:sz w:val="24"/>
                <w:szCs w:val="24"/>
                <w:highlight w:val="none"/>
              </w:rPr>
              <w:t>专利</w:t>
            </w:r>
            <w:r>
              <w:rPr>
                <w:rFonts w:hint="eastAsia" w:ascii="宋体" w:hAnsi="宋体" w:eastAsia="宋体"/>
                <w:color w:val="auto"/>
                <w:sz w:val="24"/>
                <w:szCs w:val="24"/>
              </w:rPr>
              <w:t>（发明专利得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分，实用新型专利得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分）、新技术应用示范工程（国家级得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分，省级得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分，地市级得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w:t>
            </w:r>
          </w:p>
          <w:p>
            <w:pPr>
              <w:numPr>
                <w:ilvl w:val="0"/>
                <w:numId w:val="3"/>
              </w:numPr>
              <w:spacing w:line="320" w:lineRule="exact"/>
              <w:ind w:firstLine="440"/>
              <w:rPr>
                <w:rFonts w:hint="eastAsia" w:ascii="宋体" w:hAnsi="宋体" w:eastAsia="宋体"/>
                <w:color w:val="auto"/>
                <w:sz w:val="24"/>
                <w:szCs w:val="24"/>
              </w:rPr>
            </w:pPr>
            <w:r>
              <w:rPr>
                <w:rFonts w:hint="eastAsia" w:ascii="宋体" w:hAnsi="宋体" w:eastAsia="宋体"/>
                <w:color w:val="auto"/>
                <w:sz w:val="24"/>
                <w:szCs w:val="24"/>
              </w:rPr>
              <w:t>获科技进步奖（国家级得</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分，省级得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分，地市级得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p>
            <w:pPr>
              <w:numPr>
                <w:ilvl w:val="0"/>
                <w:numId w:val="3"/>
              </w:numPr>
              <w:spacing w:line="320" w:lineRule="exact"/>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获建筑装饰行业科技示范工程、科技创新成果（省级以上</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分，市级</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p>
            <w:pPr>
              <w:numPr>
                <w:ilvl w:val="0"/>
                <w:numId w:val="3"/>
              </w:numPr>
              <w:spacing w:line="320" w:lineRule="exact"/>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QC小组活动成果奖（国家级得</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分，省级一、二等奖得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p>
            <w:pPr>
              <w:numPr>
                <w:ilvl w:val="0"/>
                <w:numId w:val="0"/>
              </w:numPr>
              <w:spacing w:line="32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（本项满分</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分，同一项目获奖按最高奖项得分，不重复加分）。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18" w:type="dxa"/>
            <w:vMerge w:val="continue"/>
            <w:noWrap w:val="0"/>
            <w:vAlign w:val="center"/>
          </w:tcPr>
          <w:p>
            <w:pPr>
              <w:spacing w:line="520" w:lineRule="exact"/>
              <w:ind w:left="354" w:right="-31" w:rightChars="-15" w:hanging="354" w:hangingChars="147"/>
              <w:jc w:val="center"/>
              <w:rPr>
                <w:rFonts w:hint="eastAsia" w:ascii="宋体" w:hAnsi="宋体" w:eastAsia="宋体"/>
                <w:b/>
                <w:color w:val="auto"/>
                <w:sz w:val="24"/>
              </w:rPr>
            </w:pPr>
          </w:p>
        </w:tc>
        <w:tc>
          <w:tcPr>
            <w:tcW w:w="2341" w:type="dxa"/>
            <w:noWrap w:val="0"/>
            <w:vAlign w:val="center"/>
          </w:tcPr>
          <w:p>
            <w:pPr>
              <w:spacing w:line="320" w:lineRule="exact"/>
              <w:ind w:firstLine="199" w:firstLineChars="83"/>
              <w:rPr>
                <w:rFonts w:hint="eastAsia" w:ascii="宋体" w:hAnsi="宋体" w:eastAsia="宋体"/>
                <w:color w:val="auto"/>
                <w:sz w:val="24"/>
                <w:szCs w:val="24"/>
              </w:rPr>
            </w:pPr>
            <w:r>
              <w:rPr>
                <w:rFonts w:hint="eastAsia" w:ascii="宋体" w:hAnsi="宋体" w:eastAsia="宋体"/>
                <w:color w:val="auto"/>
                <w:sz w:val="24"/>
                <w:szCs w:val="24"/>
              </w:rPr>
              <w:t>4、标准化工作</w:t>
            </w:r>
          </w:p>
        </w:tc>
        <w:tc>
          <w:tcPr>
            <w:tcW w:w="3260"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企业具有详细的技术和管理标准，并得到有效实施；参与过国家标准、行业标准或省级地方标准的制订</w:t>
            </w:r>
          </w:p>
        </w:tc>
        <w:tc>
          <w:tcPr>
            <w:tcW w:w="851"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4分</w:t>
            </w:r>
          </w:p>
        </w:tc>
        <w:tc>
          <w:tcPr>
            <w:tcW w:w="5259" w:type="dxa"/>
            <w:noWrap w:val="0"/>
            <w:tcMar>
              <w:top w:w="113" w:type="dxa"/>
              <w:bottom w:w="113" w:type="dxa"/>
            </w:tcMar>
            <w:vAlign w:val="center"/>
          </w:tcPr>
          <w:p>
            <w:pPr>
              <w:spacing w:line="360" w:lineRule="exact"/>
              <w:ind w:firstLine="440"/>
              <w:rPr>
                <w:rFonts w:hint="eastAsia" w:ascii="宋体" w:hAnsi="宋体" w:eastAsia="宋体"/>
                <w:color w:val="auto"/>
                <w:sz w:val="24"/>
                <w:szCs w:val="24"/>
              </w:rPr>
            </w:pPr>
            <w:r>
              <w:rPr>
                <w:rFonts w:hint="eastAsia" w:ascii="宋体" w:hAnsi="宋体" w:eastAsia="宋体"/>
                <w:color w:val="auto"/>
                <w:sz w:val="24"/>
                <w:szCs w:val="24"/>
              </w:rPr>
              <w:t>有详细的技术和管理标准者得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分；参与过国家标准、行业标准制订者得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分；参与过省级地方标准制订者得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w:t>
            </w:r>
          </w:p>
        </w:tc>
      </w:tr>
    </w:tbl>
    <w:p>
      <w:pPr>
        <w:spacing w:line="60" w:lineRule="exact"/>
        <w:ind w:firstLine="420"/>
        <w:rPr>
          <w:rFonts w:ascii="宋体" w:hAnsi="宋体" w:eastAsia="宋体"/>
          <w:color w:val="auto"/>
          <w:sz w:val="21"/>
        </w:rPr>
      </w:pPr>
    </w:p>
    <w:tbl>
      <w:tblPr>
        <w:tblStyle w:val="5"/>
        <w:tblW w:w="131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2266"/>
        <w:gridCol w:w="3407"/>
        <w:gridCol w:w="870"/>
        <w:gridCol w:w="5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333"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评价内容</w:t>
            </w:r>
          </w:p>
        </w:tc>
        <w:tc>
          <w:tcPr>
            <w:tcW w:w="2266"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主要评价指标</w:t>
            </w:r>
          </w:p>
        </w:tc>
        <w:tc>
          <w:tcPr>
            <w:tcW w:w="3407" w:type="dxa"/>
            <w:noWrap w:val="0"/>
            <w:vAlign w:val="center"/>
          </w:tcPr>
          <w:p>
            <w:pPr>
              <w:tabs>
                <w:tab w:val="left" w:pos="1602"/>
              </w:tabs>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标准内容</w:t>
            </w:r>
          </w:p>
        </w:tc>
        <w:tc>
          <w:tcPr>
            <w:tcW w:w="870" w:type="dxa"/>
            <w:noWrap w:val="0"/>
            <w:vAlign w:val="center"/>
          </w:tcPr>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标准</w:t>
            </w:r>
          </w:p>
          <w:p>
            <w:pPr>
              <w:spacing w:line="400" w:lineRule="exact"/>
              <w:ind w:firstLine="0" w:firstLineChars="0"/>
              <w:jc w:val="center"/>
              <w:rPr>
                <w:rFonts w:hint="eastAsia" w:ascii="宋体" w:hAnsi="宋体" w:eastAsia="宋体"/>
                <w:b/>
                <w:color w:val="auto"/>
                <w:sz w:val="24"/>
              </w:rPr>
            </w:pPr>
            <w:r>
              <w:rPr>
                <w:rFonts w:hint="eastAsia" w:ascii="宋体" w:hAnsi="宋体" w:eastAsia="宋体"/>
                <w:b/>
                <w:color w:val="auto"/>
                <w:sz w:val="24"/>
              </w:rPr>
              <w:t>分数</w:t>
            </w:r>
          </w:p>
        </w:tc>
        <w:tc>
          <w:tcPr>
            <w:tcW w:w="5235" w:type="dxa"/>
            <w:noWrap w:val="0"/>
            <w:vAlign w:val="center"/>
          </w:tcPr>
          <w:p>
            <w:pPr>
              <w:spacing w:line="400" w:lineRule="exact"/>
              <w:ind w:firstLine="198" w:firstLineChars="82"/>
              <w:jc w:val="center"/>
              <w:rPr>
                <w:rFonts w:hint="eastAsia" w:ascii="宋体" w:hAnsi="宋体" w:eastAsia="宋体"/>
                <w:b/>
                <w:color w:val="auto"/>
                <w:sz w:val="24"/>
              </w:rPr>
            </w:pPr>
            <w:r>
              <w:rPr>
                <w:rFonts w:hint="eastAsia" w:ascii="宋体" w:hAnsi="宋体" w:eastAsia="宋体"/>
                <w:b/>
                <w:color w:val="auto"/>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333" w:type="dxa"/>
            <w:vMerge w:val="restart"/>
            <w:noWrap w:val="0"/>
            <w:vAlign w:val="center"/>
          </w:tcPr>
          <w:p>
            <w:pPr>
              <w:spacing w:line="520" w:lineRule="exact"/>
              <w:ind w:left="388" w:right="-34" w:rightChars="-16" w:hanging="388" w:hangingChars="161"/>
              <w:jc w:val="left"/>
              <w:rPr>
                <w:rFonts w:hint="eastAsia" w:ascii="宋体" w:hAnsi="宋体" w:eastAsia="宋体"/>
                <w:b/>
                <w:color w:val="auto"/>
                <w:sz w:val="24"/>
              </w:rPr>
            </w:pPr>
            <w:r>
              <w:rPr>
                <w:rFonts w:hint="eastAsia" w:ascii="宋体" w:hAnsi="宋体" w:eastAsia="宋体"/>
                <w:b/>
                <w:color w:val="auto"/>
                <w:sz w:val="24"/>
              </w:rPr>
              <w:t>五、信用记录指标</w:t>
            </w:r>
          </w:p>
          <w:p>
            <w:pPr>
              <w:spacing w:line="520" w:lineRule="exact"/>
              <w:ind w:left="494" w:right="-34" w:rightChars="-16" w:hanging="494" w:hangingChars="205"/>
              <w:jc w:val="center"/>
              <w:rPr>
                <w:rFonts w:hint="eastAsia" w:ascii="宋体" w:hAnsi="宋体" w:eastAsia="宋体"/>
                <w:b/>
                <w:color w:val="auto"/>
                <w:sz w:val="21"/>
              </w:rPr>
            </w:pPr>
            <w:r>
              <w:rPr>
                <w:rFonts w:hint="eastAsia" w:ascii="宋体" w:hAnsi="宋体" w:eastAsia="宋体"/>
                <w:b/>
                <w:color w:val="auto"/>
                <w:sz w:val="24"/>
                <w:lang w:val="en-US" w:eastAsia="zh-CN"/>
              </w:rPr>
              <w:t>35</w:t>
            </w:r>
            <w:r>
              <w:rPr>
                <w:rFonts w:hint="eastAsia" w:ascii="宋体" w:hAnsi="宋体" w:eastAsia="宋体"/>
                <w:b/>
                <w:color w:val="auto"/>
                <w:sz w:val="24"/>
              </w:rPr>
              <w:t>分</w:t>
            </w:r>
          </w:p>
        </w:tc>
        <w:tc>
          <w:tcPr>
            <w:tcW w:w="2266" w:type="dxa"/>
            <w:noWrap w:val="0"/>
            <w:vAlign w:val="center"/>
          </w:tcPr>
          <w:p>
            <w:pPr>
              <w:spacing w:line="320" w:lineRule="exact"/>
              <w:ind w:firstLine="480"/>
              <w:rPr>
                <w:rFonts w:hint="eastAsia" w:ascii="宋体" w:hAnsi="宋体" w:eastAsia="宋体"/>
                <w:color w:val="auto"/>
                <w:sz w:val="24"/>
                <w:szCs w:val="24"/>
              </w:rPr>
            </w:pPr>
            <w:r>
              <w:rPr>
                <w:rFonts w:hint="eastAsia" w:ascii="宋体" w:hAnsi="宋体" w:eastAsia="宋体"/>
                <w:color w:val="auto"/>
                <w:sz w:val="24"/>
                <w:szCs w:val="24"/>
              </w:rPr>
              <w:t>企业</w:t>
            </w:r>
            <w:r>
              <w:rPr>
                <w:rFonts w:hint="eastAsia" w:ascii="宋体" w:hAnsi="宋体" w:eastAsia="宋体"/>
                <w:color w:val="auto"/>
                <w:sz w:val="24"/>
                <w:szCs w:val="24"/>
                <w:lang w:eastAsia="zh-CN"/>
              </w:rPr>
              <w:t>纳税</w:t>
            </w:r>
            <w:r>
              <w:rPr>
                <w:rFonts w:hint="eastAsia" w:ascii="宋体" w:hAnsi="宋体" w:eastAsia="宋体"/>
                <w:color w:val="auto"/>
                <w:sz w:val="24"/>
                <w:szCs w:val="24"/>
              </w:rPr>
              <w:t>评价</w:t>
            </w:r>
          </w:p>
        </w:tc>
        <w:tc>
          <w:tcPr>
            <w:tcW w:w="3407" w:type="dxa"/>
            <w:noWrap w:val="0"/>
            <w:vAlign w:val="center"/>
          </w:tcPr>
          <w:p>
            <w:pPr>
              <w:spacing w:line="360" w:lineRule="exact"/>
              <w:ind w:firstLine="480"/>
              <w:rPr>
                <w:rFonts w:hint="eastAsia" w:ascii="宋体" w:hAnsi="宋体" w:eastAsia="宋体"/>
                <w:color w:val="auto"/>
                <w:sz w:val="24"/>
                <w:szCs w:val="24"/>
                <w:lang w:eastAsia="zh-CN"/>
              </w:rPr>
            </w:pPr>
            <w:r>
              <w:rPr>
                <w:rFonts w:hint="eastAsia" w:ascii="宋体" w:hAnsi="宋体" w:eastAsia="宋体"/>
                <w:color w:val="auto"/>
                <w:sz w:val="24"/>
                <w:szCs w:val="24"/>
              </w:rPr>
              <w:t>企业依法按时、足额纳税</w:t>
            </w:r>
            <w:r>
              <w:rPr>
                <w:rFonts w:hint="eastAsia" w:ascii="宋体" w:hAnsi="宋体" w:eastAsia="宋体"/>
                <w:color w:val="auto"/>
                <w:sz w:val="24"/>
                <w:szCs w:val="24"/>
                <w:lang w:eastAsia="zh-CN"/>
              </w:rPr>
              <w:t>，获得国家税务局信用评价</w:t>
            </w:r>
          </w:p>
        </w:tc>
        <w:tc>
          <w:tcPr>
            <w:tcW w:w="870"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5分</w:t>
            </w:r>
          </w:p>
        </w:tc>
        <w:tc>
          <w:tcPr>
            <w:tcW w:w="5235" w:type="dxa"/>
            <w:noWrap w:val="0"/>
            <w:tcMar>
              <w:top w:w="113" w:type="dxa"/>
              <w:bottom w:w="113" w:type="dxa"/>
            </w:tcMar>
            <w:vAlign w:val="center"/>
          </w:tcPr>
          <w:p>
            <w:pPr>
              <w:spacing w:line="320" w:lineRule="exact"/>
              <w:ind w:firstLine="424"/>
              <w:rPr>
                <w:rFonts w:hint="default" w:ascii="微软雅黑" w:hAnsi="微软雅黑" w:eastAsia="微软雅黑" w:cs="微软雅黑"/>
                <w:i w:val="0"/>
                <w:iCs w:val="0"/>
                <w:caps w:val="0"/>
                <w:color w:val="333333"/>
                <w:spacing w:val="0"/>
                <w:sz w:val="27"/>
                <w:szCs w:val="27"/>
                <w:shd w:val="clear" w:fill="FFFFFF"/>
                <w:lang w:val="en-US" w:eastAsia="zh-CN"/>
              </w:rPr>
            </w:pPr>
            <w:r>
              <w:rPr>
                <w:rFonts w:hint="eastAsia" w:ascii="宋体" w:hAnsi="宋体"/>
                <w:color w:val="auto"/>
                <w:spacing w:val="-4"/>
                <w:sz w:val="24"/>
                <w:szCs w:val="24"/>
                <w:lang w:eastAsia="zh-CN"/>
              </w:rPr>
              <w:t>企业</w:t>
            </w:r>
            <w:r>
              <w:rPr>
                <w:rFonts w:hint="eastAsia" w:ascii="宋体" w:hAnsi="宋体" w:eastAsia="宋体"/>
                <w:color w:val="auto"/>
                <w:spacing w:val="-4"/>
                <w:sz w:val="24"/>
                <w:szCs w:val="24"/>
                <w:lang w:eastAsia="zh-CN"/>
              </w:rPr>
              <w:t>获</w:t>
            </w:r>
            <w:r>
              <w:rPr>
                <w:rFonts w:hint="eastAsia" w:ascii="宋体" w:hAnsi="宋体"/>
                <w:color w:val="auto"/>
                <w:spacing w:val="-4"/>
                <w:sz w:val="24"/>
                <w:szCs w:val="24"/>
                <w:lang w:eastAsia="zh-CN"/>
              </w:rPr>
              <w:t>国家税务局</w:t>
            </w:r>
            <w:r>
              <w:rPr>
                <w:rFonts w:hint="eastAsia" w:ascii="宋体" w:hAnsi="宋体" w:eastAsia="宋体"/>
                <w:color w:val="auto"/>
                <w:spacing w:val="-4"/>
                <w:sz w:val="24"/>
                <w:szCs w:val="24"/>
                <w:lang w:eastAsia="zh-CN"/>
              </w:rPr>
              <w:t>年度</w:t>
            </w:r>
            <w:r>
              <w:rPr>
                <w:rFonts w:hint="eastAsia" w:ascii="宋体" w:hAnsi="宋体" w:eastAsia="宋体"/>
                <w:color w:val="auto"/>
                <w:spacing w:val="-4"/>
                <w:sz w:val="24"/>
                <w:szCs w:val="24"/>
              </w:rPr>
              <w:t>纳税信用</w:t>
            </w:r>
            <w:r>
              <w:rPr>
                <w:rFonts w:hint="eastAsia" w:ascii="宋体" w:hAnsi="宋体" w:eastAsia="宋体"/>
                <w:color w:val="auto"/>
                <w:spacing w:val="-4"/>
                <w:sz w:val="24"/>
                <w:szCs w:val="24"/>
                <w:lang w:eastAsia="zh-CN"/>
              </w:rPr>
              <w:t>评价</w:t>
            </w:r>
            <w:r>
              <w:rPr>
                <w:rFonts w:hint="eastAsia" w:ascii="宋体" w:hAnsi="宋体" w:eastAsia="宋体"/>
                <w:color w:val="auto"/>
                <w:spacing w:val="-4"/>
                <w:sz w:val="24"/>
                <w:szCs w:val="24"/>
              </w:rPr>
              <w:t>A</w:t>
            </w:r>
            <w:r>
              <w:rPr>
                <w:rFonts w:hint="eastAsia" w:ascii="宋体" w:hAnsi="宋体" w:eastAsia="宋体"/>
                <w:color w:val="auto"/>
                <w:spacing w:val="-4"/>
                <w:sz w:val="24"/>
                <w:szCs w:val="24"/>
                <w:lang w:eastAsia="zh-CN"/>
              </w:rPr>
              <w:t>级</w:t>
            </w:r>
            <w:r>
              <w:rPr>
                <w:rFonts w:hint="eastAsia" w:ascii="宋体" w:hAnsi="宋体"/>
                <w:color w:val="auto"/>
                <w:spacing w:val="-4"/>
                <w:sz w:val="24"/>
                <w:szCs w:val="24"/>
                <w:lang w:eastAsia="zh-CN"/>
              </w:rPr>
              <w:t>别得</w:t>
            </w:r>
            <w:r>
              <w:rPr>
                <w:rFonts w:hint="eastAsia" w:ascii="宋体" w:hAnsi="宋体" w:eastAsia="宋体"/>
                <w:color w:val="auto"/>
                <w:spacing w:val="-4"/>
                <w:sz w:val="24"/>
                <w:szCs w:val="24"/>
                <w:lang w:val="en-US" w:eastAsia="zh-CN"/>
              </w:rPr>
              <w:t>5分，B级</w:t>
            </w:r>
            <w:r>
              <w:rPr>
                <w:rFonts w:hint="eastAsia" w:ascii="宋体" w:hAnsi="宋体"/>
                <w:color w:val="auto"/>
                <w:spacing w:val="-4"/>
                <w:sz w:val="24"/>
                <w:szCs w:val="24"/>
                <w:lang w:val="en-US" w:eastAsia="zh-CN"/>
              </w:rPr>
              <w:t>别</w:t>
            </w:r>
            <w:r>
              <w:rPr>
                <w:rFonts w:hint="eastAsia" w:ascii="宋体" w:hAnsi="宋体"/>
                <w:color w:val="auto"/>
                <w:spacing w:val="-4"/>
                <w:sz w:val="24"/>
                <w:szCs w:val="24"/>
                <w:lang w:eastAsia="zh-CN"/>
              </w:rPr>
              <w:t>得</w:t>
            </w:r>
            <w:r>
              <w:rPr>
                <w:rFonts w:hint="eastAsia" w:ascii="宋体" w:hAnsi="宋体" w:eastAsia="宋体"/>
                <w:color w:val="auto"/>
                <w:spacing w:val="-4"/>
                <w:sz w:val="24"/>
                <w:szCs w:val="24"/>
                <w:lang w:val="en-US" w:eastAsia="zh-CN"/>
              </w:rPr>
              <w:t>3分</w:t>
            </w:r>
            <w:r>
              <w:rPr>
                <w:rFonts w:hint="eastAsia" w:ascii="宋体" w:hAnsi="宋体"/>
                <w:color w:val="auto"/>
                <w:spacing w:val="-4"/>
                <w:sz w:val="24"/>
                <w:szCs w:val="24"/>
                <w:lang w:val="en-US" w:eastAsia="zh-CN"/>
              </w:rPr>
              <w:t>，M级别</w:t>
            </w:r>
            <w:r>
              <w:rPr>
                <w:rFonts w:hint="eastAsia" w:ascii="宋体" w:hAnsi="宋体"/>
                <w:color w:val="auto"/>
                <w:spacing w:val="-4"/>
                <w:sz w:val="24"/>
                <w:szCs w:val="24"/>
                <w:lang w:eastAsia="zh-CN"/>
              </w:rPr>
              <w:t>得</w:t>
            </w:r>
            <w:r>
              <w:rPr>
                <w:rFonts w:hint="eastAsia" w:ascii="宋体" w:hAnsi="宋体"/>
                <w:color w:val="auto"/>
                <w:spacing w:val="-4"/>
                <w:sz w:val="24"/>
                <w:szCs w:val="24"/>
                <w:lang w:val="en-US" w:eastAsia="zh-CN"/>
              </w:rPr>
              <w:t>1分，C、D级别不得分</w:t>
            </w:r>
            <w:r>
              <w:rPr>
                <w:rFonts w:hint="eastAsia" w:ascii="宋体" w:hAnsi="宋体" w:eastAsia="宋体"/>
                <w:color w:val="auto"/>
                <w:spacing w:val="-4"/>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333" w:type="dxa"/>
            <w:vMerge w:val="continue"/>
            <w:noWrap w:val="0"/>
            <w:vAlign w:val="center"/>
          </w:tcPr>
          <w:p>
            <w:pPr>
              <w:spacing w:line="520" w:lineRule="exact"/>
              <w:ind w:left="388" w:right="-34" w:rightChars="-16" w:hanging="388" w:hangingChars="161"/>
              <w:jc w:val="left"/>
              <w:rPr>
                <w:rFonts w:hint="eastAsia" w:ascii="宋体" w:hAnsi="宋体" w:eastAsia="宋体"/>
                <w:b/>
                <w:color w:val="auto"/>
                <w:sz w:val="24"/>
              </w:rPr>
            </w:pPr>
          </w:p>
        </w:tc>
        <w:tc>
          <w:tcPr>
            <w:tcW w:w="2266" w:type="dxa"/>
            <w:noWrap w:val="0"/>
            <w:vAlign w:val="center"/>
          </w:tcPr>
          <w:p>
            <w:pPr>
              <w:spacing w:line="320" w:lineRule="exact"/>
              <w:ind w:firstLine="480"/>
              <w:rPr>
                <w:rFonts w:hint="eastAsia" w:ascii="宋体" w:hAnsi="宋体" w:eastAsia="宋体"/>
                <w:color w:val="auto"/>
                <w:sz w:val="24"/>
                <w:szCs w:val="24"/>
              </w:rPr>
            </w:pPr>
            <w:r>
              <w:rPr>
                <w:rFonts w:hint="eastAsia" w:ascii="宋体" w:hAnsi="宋体" w:eastAsia="宋体"/>
                <w:color w:val="auto"/>
                <w:sz w:val="24"/>
                <w:szCs w:val="24"/>
              </w:rPr>
              <w:t>行为记录</w:t>
            </w:r>
          </w:p>
        </w:tc>
        <w:tc>
          <w:tcPr>
            <w:tcW w:w="3407" w:type="dxa"/>
            <w:noWrap w:val="0"/>
            <w:vAlign w:val="center"/>
          </w:tcPr>
          <w:p>
            <w:pPr>
              <w:spacing w:line="360" w:lineRule="exact"/>
              <w:ind w:firstLine="480"/>
              <w:rPr>
                <w:rFonts w:hint="eastAsia" w:ascii="宋体" w:hAnsi="宋体" w:eastAsia="宋体"/>
                <w:color w:val="auto"/>
                <w:sz w:val="24"/>
                <w:szCs w:val="24"/>
              </w:rPr>
            </w:pPr>
            <w:r>
              <w:rPr>
                <w:rFonts w:hint="eastAsia" w:ascii="宋体" w:hAnsi="宋体" w:eastAsia="宋体"/>
                <w:color w:val="auto"/>
                <w:sz w:val="24"/>
                <w:szCs w:val="24"/>
              </w:rPr>
              <w:t>企业经营中无违反有关法律、法规、规章或强制性标准和执业行为规范，无构成不良行为</w:t>
            </w:r>
          </w:p>
        </w:tc>
        <w:tc>
          <w:tcPr>
            <w:tcW w:w="870"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30</w:t>
            </w:r>
            <w:r>
              <w:rPr>
                <w:rFonts w:hint="eastAsia" w:ascii="宋体" w:hAnsi="宋体" w:eastAsia="宋体"/>
                <w:color w:val="auto"/>
                <w:sz w:val="24"/>
                <w:szCs w:val="24"/>
              </w:rPr>
              <w:t>分</w:t>
            </w:r>
          </w:p>
        </w:tc>
        <w:tc>
          <w:tcPr>
            <w:tcW w:w="5235" w:type="dxa"/>
            <w:noWrap w:val="0"/>
            <w:tcMar>
              <w:top w:w="113" w:type="dxa"/>
              <w:bottom w:w="113" w:type="dxa"/>
            </w:tcMar>
            <w:vAlign w:val="center"/>
          </w:tcPr>
          <w:p>
            <w:pPr>
              <w:spacing w:line="320" w:lineRule="exact"/>
              <w:ind w:firstLine="424"/>
              <w:rPr>
                <w:rFonts w:hint="eastAsia" w:ascii="宋体" w:hAnsi="宋体" w:eastAsia="宋体"/>
                <w:color w:val="auto"/>
                <w:sz w:val="24"/>
                <w:szCs w:val="24"/>
              </w:rPr>
            </w:pPr>
            <w:r>
              <w:rPr>
                <w:rFonts w:hint="eastAsia" w:ascii="宋体" w:hAnsi="宋体" w:eastAsia="宋体"/>
                <w:color w:val="auto"/>
                <w:spacing w:val="-4"/>
                <w:sz w:val="24"/>
                <w:szCs w:val="24"/>
              </w:rPr>
              <w:t>企业没有不良行为记录得</w:t>
            </w:r>
            <w:r>
              <w:rPr>
                <w:rFonts w:hint="eastAsia" w:ascii="宋体" w:hAnsi="宋体" w:eastAsia="宋体"/>
                <w:color w:val="auto"/>
                <w:spacing w:val="-4"/>
                <w:sz w:val="24"/>
                <w:szCs w:val="24"/>
                <w:lang w:val="en-US" w:eastAsia="zh-CN"/>
              </w:rPr>
              <w:t>30</w:t>
            </w:r>
            <w:r>
              <w:rPr>
                <w:rFonts w:hint="eastAsia" w:ascii="宋体" w:hAnsi="宋体" w:eastAsia="宋体"/>
                <w:color w:val="auto"/>
                <w:spacing w:val="-4"/>
                <w:sz w:val="24"/>
                <w:szCs w:val="24"/>
              </w:rPr>
              <w:t>分。根据国家和本省有关违法违规、不良行为的规定，企业或企业法人被列入法院被执行对象的每起扣1</w:t>
            </w:r>
            <w:r>
              <w:rPr>
                <w:rFonts w:hint="eastAsia" w:ascii="宋体" w:hAnsi="宋体" w:eastAsia="宋体"/>
                <w:color w:val="auto"/>
                <w:spacing w:val="-4"/>
                <w:sz w:val="24"/>
                <w:szCs w:val="24"/>
                <w:lang w:val="en-US" w:eastAsia="zh-CN"/>
              </w:rPr>
              <w:t>0</w:t>
            </w:r>
            <w:r>
              <w:rPr>
                <w:rFonts w:hint="eastAsia" w:ascii="宋体" w:hAnsi="宋体" w:eastAsia="宋体"/>
                <w:color w:val="auto"/>
                <w:spacing w:val="-4"/>
                <w:sz w:val="24"/>
                <w:szCs w:val="24"/>
              </w:rPr>
              <w:t>分，受建设行政主管部门或其委托的执行监督机构处罚的每起扣5分，受其他行政部门处罚的视不良行为严重程度酌情扣分（以上不良行为处罚信息以政府部门信息公开平台查实并公布的信息为准，同一行为按最重的扣分）。每年不按建设主管部门要求在统计系统平台申报企业统计数据的扣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333" w:type="dxa"/>
            <w:noWrap w:val="0"/>
            <w:vAlign w:val="center"/>
          </w:tcPr>
          <w:p>
            <w:pPr>
              <w:spacing w:line="520" w:lineRule="exact"/>
              <w:ind w:left="354" w:right="-34" w:rightChars="-16" w:hanging="354" w:hangingChars="147"/>
              <w:rPr>
                <w:rFonts w:hint="eastAsia" w:ascii="宋体" w:hAnsi="宋体" w:eastAsia="宋体"/>
                <w:b/>
                <w:color w:val="auto"/>
                <w:sz w:val="21"/>
              </w:rPr>
            </w:pPr>
            <w:r>
              <w:rPr>
                <w:rFonts w:hint="eastAsia" w:ascii="宋体" w:hAnsi="宋体" w:eastAsia="宋体"/>
                <w:b/>
                <w:color w:val="auto"/>
                <w:sz w:val="24"/>
              </w:rPr>
              <w:t>六、社会责任</w:t>
            </w:r>
            <w:r>
              <w:rPr>
                <w:rFonts w:hint="eastAsia" w:ascii="宋体" w:hAnsi="宋体" w:eastAsia="宋体"/>
                <w:b/>
                <w:color w:val="auto"/>
                <w:sz w:val="24"/>
                <w:lang w:val="en-US" w:eastAsia="zh-CN"/>
              </w:rPr>
              <w:t>5</w:t>
            </w:r>
            <w:r>
              <w:rPr>
                <w:rFonts w:hint="eastAsia" w:ascii="宋体" w:hAnsi="宋体" w:eastAsia="宋体"/>
                <w:b/>
                <w:color w:val="auto"/>
                <w:sz w:val="24"/>
              </w:rPr>
              <w:t>分</w:t>
            </w:r>
          </w:p>
        </w:tc>
        <w:tc>
          <w:tcPr>
            <w:tcW w:w="2266" w:type="dxa"/>
            <w:noWrap w:val="0"/>
            <w:vAlign w:val="center"/>
          </w:tcPr>
          <w:p>
            <w:pPr>
              <w:spacing w:line="320" w:lineRule="exact"/>
              <w:ind w:firstLine="480"/>
              <w:rPr>
                <w:rFonts w:hint="eastAsia" w:ascii="宋体" w:hAnsi="宋体" w:eastAsia="宋体"/>
                <w:color w:val="auto"/>
                <w:sz w:val="24"/>
                <w:szCs w:val="24"/>
              </w:rPr>
            </w:pPr>
            <w:r>
              <w:rPr>
                <w:rFonts w:hint="eastAsia" w:ascii="宋体" w:hAnsi="宋体" w:eastAsia="宋体"/>
                <w:color w:val="auto"/>
                <w:sz w:val="24"/>
                <w:szCs w:val="24"/>
              </w:rPr>
              <w:t>社会责任</w:t>
            </w:r>
          </w:p>
        </w:tc>
        <w:tc>
          <w:tcPr>
            <w:tcW w:w="3407" w:type="dxa"/>
            <w:noWrap w:val="0"/>
            <w:vAlign w:val="center"/>
          </w:tcPr>
          <w:p>
            <w:pPr>
              <w:spacing w:line="320" w:lineRule="exact"/>
              <w:ind w:firstLine="480"/>
              <w:rPr>
                <w:rFonts w:hint="eastAsia" w:ascii="宋体" w:hAnsi="宋体" w:eastAsia="宋体"/>
                <w:color w:val="auto"/>
                <w:sz w:val="24"/>
                <w:szCs w:val="24"/>
              </w:rPr>
            </w:pPr>
            <w:r>
              <w:rPr>
                <w:rFonts w:hint="eastAsia" w:ascii="宋体" w:hAnsi="宋体" w:eastAsia="宋体"/>
                <w:color w:val="auto"/>
                <w:sz w:val="24"/>
                <w:szCs w:val="24"/>
              </w:rPr>
              <w:t>企业在从事建筑业活动、参与抢险救灾或社会其他公益活动中获得政府主管部门表彰、表扬的</w:t>
            </w:r>
          </w:p>
        </w:tc>
        <w:tc>
          <w:tcPr>
            <w:tcW w:w="870" w:type="dxa"/>
            <w:noWrap w:val="0"/>
            <w:vAlign w:val="center"/>
          </w:tcPr>
          <w:p>
            <w:pPr>
              <w:spacing w:line="320" w:lineRule="exact"/>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分</w:t>
            </w:r>
          </w:p>
        </w:tc>
        <w:tc>
          <w:tcPr>
            <w:tcW w:w="5235" w:type="dxa"/>
            <w:noWrap w:val="0"/>
            <w:tcMar>
              <w:top w:w="113" w:type="dxa"/>
              <w:bottom w:w="113" w:type="dxa"/>
            </w:tcMar>
            <w:vAlign w:val="center"/>
          </w:tcPr>
          <w:p>
            <w:pPr>
              <w:spacing w:line="320" w:lineRule="exact"/>
              <w:ind w:firstLine="440"/>
              <w:rPr>
                <w:rFonts w:hint="eastAsia" w:ascii="宋体" w:hAnsi="宋体" w:eastAsia="宋体"/>
                <w:color w:val="auto"/>
                <w:sz w:val="24"/>
                <w:szCs w:val="24"/>
              </w:rPr>
            </w:pPr>
            <w:r>
              <w:rPr>
                <w:rFonts w:hint="eastAsia" w:ascii="宋体" w:hAnsi="宋体" w:eastAsia="宋体"/>
                <w:color w:val="auto"/>
                <w:sz w:val="24"/>
                <w:szCs w:val="24"/>
              </w:rPr>
              <w:t>企业在从事建筑业活动、参与抢险救灾或社会其他公益活动中获得政府主管部门表彰、表扬的，获国家级加</w:t>
            </w:r>
            <w:r>
              <w:rPr>
                <w:rFonts w:hint="eastAsia" w:ascii="宋体" w:hAnsi="宋体"/>
                <w:color w:val="auto"/>
                <w:sz w:val="24"/>
                <w:szCs w:val="24"/>
                <w:lang w:val="en-US" w:eastAsia="zh-CN"/>
              </w:rPr>
              <w:t>5</w:t>
            </w:r>
            <w:r>
              <w:rPr>
                <w:rFonts w:hint="eastAsia" w:ascii="宋体" w:hAnsi="宋体" w:eastAsia="宋体"/>
                <w:color w:val="auto"/>
                <w:sz w:val="24"/>
                <w:szCs w:val="24"/>
              </w:rPr>
              <w:t>分，部级加</w:t>
            </w:r>
            <w:r>
              <w:rPr>
                <w:rFonts w:hint="eastAsia" w:ascii="宋体" w:hAnsi="宋体"/>
                <w:color w:val="auto"/>
                <w:sz w:val="24"/>
                <w:szCs w:val="24"/>
                <w:lang w:val="en-US" w:eastAsia="zh-CN"/>
              </w:rPr>
              <w:t>4</w:t>
            </w:r>
            <w:r>
              <w:rPr>
                <w:rFonts w:hint="eastAsia" w:ascii="宋体" w:hAnsi="宋体" w:eastAsia="宋体"/>
                <w:color w:val="auto"/>
                <w:sz w:val="24"/>
                <w:szCs w:val="24"/>
              </w:rPr>
              <w:t>分，省级加</w:t>
            </w:r>
            <w:r>
              <w:rPr>
                <w:rFonts w:hint="eastAsia" w:ascii="宋体" w:hAnsi="宋体"/>
                <w:color w:val="auto"/>
                <w:sz w:val="24"/>
                <w:szCs w:val="24"/>
                <w:lang w:val="en-US" w:eastAsia="zh-CN"/>
              </w:rPr>
              <w:t>3</w:t>
            </w:r>
            <w:r>
              <w:rPr>
                <w:rFonts w:hint="eastAsia" w:ascii="宋体" w:hAnsi="宋体" w:eastAsia="宋体"/>
                <w:color w:val="auto"/>
                <w:sz w:val="24"/>
                <w:szCs w:val="24"/>
              </w:rPr>
              <w:t>分，</w:t>
            </w:r>
            <w:r>
              <w:rPr>
                <w:rFonts w:hint="eastAsia" w:ascii="宋体" w:hAnsi="宋体" w:eastAsia="宋体"/>
                <w:color w:val="auto"/>
                <w:sz w:val="24"/>
                <w:szCs w:val="24"/>
                <w:highlight w:val="none"/>
              </w:rPr>
              <w:t>地市级</w:t>
            </w:r>
            <w:r>
              <w:rPr>
                <w:rFonts w:hint="eastAsia" w:ascii="宋体" w:hAnsi="宋体" w:eastAsia="宋体"/>
                <w:color w:val="auto"/>
                <w:sz w:val="24"/>
                <w:szCs w:val="24"/>
                <w:highlight w:val="none"/>
                <w:lang w:eastAsia="zh-CN"/>
              </w:rPr>
              <w:t>或</w:t>
            </w:r>
            <w:r>
              <w:rPr>
                <w:rFonts w:hint="eastAsia" w:ascii="宋体" w:hAnsi="宋体" w:eastAsia="宋体"/>
                <w:color w:val="auto"/>
                <w:sz w:val="24"/>
                <w:szCs w:val="24"/>
                <w:highlight w:val="none"/>
              </w:rPr>
              <w:t>区县级</w:t>
            </w:r>
            <w:r>
              <w:rPr>
                <w:rFonts w:hint="eastAsia" w:ascii="宋体" w:hAnsi="宋体" w:eastAsia="宋体"/>
                <w:color w:val="auto"/>
                <w:sz w:val="24"/>
                <w:szCs w:val="24"/>
              </w:rPr>
              <w:t>加</w:t>
            </w:r>
            <w:r>
              <w:rPr>
                <w:rFonts w:hint="eastAsia" w:ascii="宋体" w:hAnsi="宋体"/>
                <w:color w:val="auto"/>
                <w:sz w:val="24"/>
                <w:szCs w:val="24"/>
                <w:lang w:val="en-US" w:eastAsia="zh-CN"/>
              </w:rPr>
              <w:t>2</w:t>
            </w:r>
            <w:r>
              <w:rPr>
                <w:rFonts w:hint="eastAsia" w:ascii="宋体" w:hAnsi="宋体" w:eastAsia="宋体"/>
                <w:color w:val="auto"/>
                <w:sz w:val="24"/>
                <w:szCs w:val="24"/>
              </w:rPr>
              <w:t>分。</w:t>
            </w:r>
          </w:p>
        </w:tc>
      </w:tr>
    </w:tbl>
    <w:p>
      <w:pPr>
        <w:snapToGrid w:val="0"/>
        <w:spacing w:line="240" w:lineRule="auto"/>
        <w:ind w:right="0" w:rightChars="0"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注：1.本表所称生产安全较大事故，是指《生产安全事故报告和调查处理条例》（国务院令第493号）规定的“造成3人以上10人以下死亡，或者10人以上50人以下重伤，或者1000万元以上5000万元以下直接经济损失的事故”。</w:t>
      </w:r>
    </w:p>
    <w:p>
      <w:pPr>
        <w:snapToGrid w:val="0"/>
        <w:spacing w:line="240" w:lineRule="auto"/>
        <w:ind w:right="0" w:rightChars="0"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2.本表所要求提供的指标均为申报年度前2年的指标。</w:t>
      </w:r>
    </w:p>
    <w:p>
      <w:pPr>
        <w:adjustRightInd w:val="0"/>
        <w:snapToGrid w:val="0"/>
        <w:spacing w:line="240" w:lineRule="auto"/>
        <w:ind w:leftChars="0" w:right="0" w:rightChars="0" w:firstLine="480" w:firstLineChars="200"/>
        <w:jc w:val="left"/>
        <w:rPr>
          <w:rFonts w:hint="eastAsia" w:ascii="宋体" w:hAnsi="宋体" w:eastAsia="宋体"/>
          <w:color w:val="auto"/>
          <w:sz w:val="24"/>
          <w:szCs w:val="24"/>
          <w:lang w:eastAsia="zh-CN"/>
        </w:rPr>
        <w:sectPr>
          <w:footerReference r:id="rId3" w:type="default"/>
          <w:pgSz w:w="16838" w:h="11906" w:orient="landscape"/>
          <w:pgMar w:top="617" w:right="1440" w:bottom="149" w:left="1559" w:header="851" w:footer="822" w:gutter="0"/>
          <w:pgNumType w:fmt="decimal"/>
          <w:cols w:space="720" w:num="1"/>
          <w:docGrid w:type="lines" w:linePitch="381" w:charSpace="0"/>
        </w:sectPr>
      </w:pPr>
      <w:r>
        <w:rPr>
          <w:rFonts w:hint="eastAsia" w:ascii="宋体" w:hAnsi="宋体" w:eastAsia="宋体"/>
          <w:color w:val="auto"/>
          <w:sz w:val="24"/>
          <w:szCs w:val="24"/>
        </w:rPr>
        <w:t>3.所有采分项，同一项目均按最高级别奖项采分，不重复叠加分数</w:t>
      </w:r>
      <w:r>
        <w:rPr>
          <w:rFonts w:hint="eastAsia" w:ascii="宋体" w:hAnsi="宋体" w:eastAsia="宋体"/>
          <w:color w:val="auto"/>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9944B"/>
    <w:multiLevelType w:val="singleLevel"/>
    <w:tmpl w:val="B5B9944B"/>
    <w:lvl w:ilvl="0" w:tentative="0">
      <w:start w:val="3"/>
      <w:numFmt w:val="decimal"/>
      <w:suff w:val="nothing"/>
      <w:lvlText w:val="%1、"/>
      <w:lvlJc w:val="left"/>
    </w:lvl>
  </w:abstractNum>
  <w:abstractNum w:abstractNumId="1">
    <w:nsid w:val="F2BDDC19"/>
    <w:multiLevelType w:val="singleLevel"/>
    <w:tmpl w:val="F2BDDC19"/>
    <w:lvl w:ilvl="0" w:tentative="0">
      <w:start w:val="1"/>
      <w:numFmt w:val="decimal"/>
      <w:suff w:val="nothing"/>
      <w:lvlText w:val="%1、"/>
      <w:lvlJc w:val="left"/>
    </w:lvl>
  </w:abstractNum>
  <w:abstractNum w:abstractNumId="2">
    <w:nsid w:val="595B467E"/>
    <w:multiLevelType w:val="multilevel"/>
    <w:tmpl w:val="595B46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TZhYTk1N2Y2ODQ3MGVmMmIzZmZmNDlhYmU0NjUifQ=="/>
  </w:docVars>
  <w:rsids>
    <w:rsidRoot w:val="266E73A0"/>
    <w:rsid w:val="044A0997"/>
    <w:rsid w:val="16B16C13"/>
    <w:rsid w:val="1C4E0D4B"/>
    <w:rsid w:val="266E73A0"/>
    <w:rsid w:val="2BD3004D"/>
    <w:rsid w:val="2FAD7DC0"/>
    <w:rsid w:val="44ED452A"/>
    <w:rsid w:val="57C57C38"/>
    <w:rsid w:val="607503C1"/>
    <w:rsid w:val="77827B40"/>
    <w:rsid w:val="7DB5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2023-11-08T02:18:00Z</dcterms:created>
  <dc:creator>林强</dc:creator>
  <cp:lastModifiedBy>林强</cp:lastModifiedBy>
  <dcterms:modified xsi:type="dcterms:W3CDTF">2023-11-09T06:33:52Z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F0DF883867EB40F28953857F2E686117_13</vt:lpwstr>
  </property>
</Properties>
</file>